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592FA" w14:textId="77777777" w:rsidR="001A0BDB" w:rsidRPr="00970827" w:rsidRDefault="009D1917" w:rsidP="00970827">
      <w:pPr>
        <w:spacing w:before="120" w:line="240" w:lineRule="auto"/>
        <w:jc w:val="center"/>
        <w:rPr>
          <w:rFonts w:cs="Times New Roman"/>
          <w:sz w:val="28"/>
          <w:szCs w:val="28"/>
        </w:rPr>
      </w:pPr>
      <w:r w:rsidRPr="00970827">
        <w:rPr>
          <w:rFonts w:cs="Times New Roman"/>
          <w:b/>
          <w:sz w:val="28"/>
          <w:szCs w:val="28"/>
        </w:rPr>
        <w:t>THUYẾT MINH</w:t>
      </w:r>
    </w:p>
    <w:p w14:paraId="688961D1" w14:textId="128B025F" w:rsidR="001A0BDB" w:rsidRPr="00970827" w:rsidRDefault="009D1917" w:rsidP="00970827">
      <w:pPr>
        <w:spacing w:before="120" w:line="240" w:lineRule="auto"/>
        <w:jc w:val="center"/>
        <w:rPr>
          <w:rFonts w:cs="Times New Roman"/>
          <w:sz w:val="28"/>
          <w:szCs w:val="28"/>
        </w:rPr>
      </w:pPr>
      <w:r w:rsidRPr="00970827">
        <w:rPr>
          <w:rFonts w:cs="Times New Roman"/>
          <w:b/>
          <w:sz w:val="28"/>
          <w:szCs w:val="28"/>
        </w:rPr>
        <w:t>DỰ THẢO QUY CHUẨN KỸ THUẬT QUỐC GIA</w:t>
      </w:r>
      <w:r w:rsidR="00970827">
        <w:rPr>
          <w:rFonts w:cs="Times New Roman"/>
          <w:sz w:val="28"/>
          <w:szCs w:val="28"/>
        </w:rPr>
        <w:br/>
      </w:r>
      <w:r w:rsidRPr="00970827">
        <w:rPr>
          <w:rFonts w:cs="Times New Roman"/>
          <w:b/>
          <w:sz w:val="28"/>
          <w:szCs w:val="28"/>
        </w:rPr>
        <w:t>VỀ TRỤ SẠC</w:t>
      </w:r>
      <w:r w:rsidR="00FF2592" w:rsidRPr="00FF2592">
        <w:rPr>
          <w:rFonts w:cs="Times New Roman"/>
          <w:b/>
          <w:sz w:val="28"/>
          <w:szCs w:val="28"/>
        </w:rPr>
        <w:t>,</w:t>
      </w:r>
      <w:r w:rsidRPr="00970827">
        <w:rPr>
          <w:rFonts w:cs="Times New Roman"/>
          <w:b/>
          <w:sz w:val="28"/>
          <w:szCs w:val="28"/>
        </w:rPr>
        <w:t xml:space="preserve"> TRẠM SẠC XE ĐIỆN</w:t>
      </w:r>
    </w:p>
    <w:p w14:paraId="7C8DA534" w14:textId="35856CE0" w:rsidR="00970827" w:rsidRDefault="00FF2592" w:rsidP="00FF2592">
      <w:pPr>
        <w:spacing w:before="120" w:line="240" w:lineRule="auto"/>
        <w:ind w:firstLine="720"/>
        <w:jc w:val="center"/>
        <w:rPr>
          <w:rFonts w:cs="Times New Roman"/>
          <w:i/>
          <w:sz w:val="28"/>
          <w:szCs w:val="28"/>
        </w:rPr>
      </w:pPr>
      <w:r w:rsidRPr="00FF2592">
        <w:rPr>
          <w:rFonts w:cs="Times New Roman"/>
          <w:i/>
          <w:sz w:val="28"/>
          <w:szCs w:val="28"/>
        </w:rPr>
        <w:t>QCVN XXX:2026/BCT</w:t>
      </w:r>
    </w:p>
    <w:p w14:paraId="5AAEA185" w14:textId="77777777" w:rsidR="00FF2592" w:rsidRPr="00970827" w:rsidRDefault="00FF2592" w:rsidP="00FF2592">
      <w:pPr>
        <w:spacing w:before="120" w:line="240" w:lineRule="auto"/>
        <w:ind w:firstLine="720"/>
        <w:jc w:val="center"/>
        <w:rPr>
          <w:rFonts w:cs="Times New Roman"/>
          <w:i/>
          <w:sz w:val="28"/>
          <w:szCs w:val="28"/>
        </w:rPr>
      </w:pPr>
    </w:p>
    <w:p w14:paraId="4F860E8A" w14:textId="77777777"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I. THÔNG TIN CHUNG</w:t>
      </w:r>
    </w:p>
    <w:p w14:paraId="64E8AF47" w14:textId="2AE9604A"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1. Tên quy chuẩn:</w:t>
      </w:r>
      <w:r w:rsidRPr="00170D17">
        <w:rPr>
          <w:rFonts w:cs="Times New Roman"/>
          <w:sz w:val="28"/>
          <w:szCs w:val="28"/>
        </w:rPr>
        <w:t xml:space="preserve"> Quy chuẩn kỹ thuật quốc gia về trụ sạc</w:t>
      </w:r>
      <w:r w:rsidR="00FF2592" w:rsidRPr="00170D17">
        <w:rPr>
          <w:rFonts w:cs="Times New Roman"/>
          <w:sz w:val="28"/>
          <w:szCs w:val="28"/>
        </w:rPr>
        <w:t>,</w:t>
      </w:r>
      <w:r w:rsidRPr="00170D17">
        <w:rPr>
          <w:rFonts w:cs="Times New Roman"/>
          <w:sz w:val="28"/>
          <w:szCs w:val="28"/>
        </w:rPr>
        <w:t xml:space="preserve"> trạm sạc xe điện.</w:t>
      </w:r>
    </w:p>
    <w:p w14:paraId="561FAE8E" w14:textId="5D2DB6D5"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Tên tiếng Anh: </w:t>
      </w:r>
      <w:r w:rsidRPr="00170D17">
        <w:rPr>
          <w:rFonts w:cs="Times New Roman"/>
          <w:i/>
          <w:iCs/>
          <w:sz w:val="28"/>
          <w:szCs w:val="28"/>
        </w:rPr>
        <w:t>National technical regulation on electric vehicle charging equipment</w:t>
      </w:r>
      <w:r w:rsidRPr="00170D17">
        <w:rPr>
          <w:rFonts w:cs="Times New Roman"/>
          <w:i/>
          <w:iCs/>
          <w:sz w:val="28"/>
          <w:szCs w:val="28"/>
          <w:lang w:val="en-US"/>
        </w:rPr>
        <w:t xml:space="preserve"> and</w:t>
      </w:r>
      <w:r w:rsidRPr="00170D17">
        <w:rPr>
          <w:rFonts w:cs="Times New Roman"/>
          <w:i/>
          <w:iCs/>
          <w:sz w:val="28"/>
          <w:szCs w:val="28"/>
        </w:rPr>
        <w:t xml:space="preserve"> charging stations.</w:t>
      </w:r>
    </w:p>
    <w:p w14:paraId="4D992D41" w14:textId="77777777"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2. Ký hiệu dự kiến:</w:t>
      </w:r>
      <w:r w:rsidRPr="00170D17">
        <w:rPr>
          <w:rFonts w:cs="Times New Roman"/>
          <w:sz w:val="28"/>
          <w:szCs w:val="28"/>
        </w:rPr>
        <w:t xml:space="preserve"> QCVN XXX:2026/BCT.</w:t>
      </w:r>
    </w:p>
    <w:p w14:paraId="3DC5A0DD" w14:textId="77777777" w:rsidR="00FF2592"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3. </w:t>
      </w:r>
      <w:r w:rsidR="00FF2592" w:rsidRPr="00170D17">
        <w:rPr>
          <w:rFonts w:cs="Times New Roman"/>
          <w:b/>
          <w:sz w:val="28"/>
          <w:szCs w:val="28"/>
        </w:rPr>
        <w:t>Hình thức ban hành</w:t>
      </w:r>
      <w:r w:rsidRPr="00170D17">
        <w:rPr>
          <w:rFonts w:cs="Times New Roman"/>
          <w:b/>
          <w:sz w:val="28"/>
          <w:szCs w:val="28"/>
        </w:rPr>
        <w:t>:</w:t>
      </w:r>
      <w:r w:rsidRPr="00170D17">
        <w:rPr>
          <w:rFonts w:cs="Times New Roman"/>
          <w:sz w:val="28"/>
          <w:szCs w:val="28"/>
        </w:rPr>
        <w:t xml:space="preserve"> </w:t>
      </w:r>
      <w:r w:rsidR="00FF2592" w:rsidRPr="00170D17">
        <w:rPr>
          <w:rFonts w:cs="Times New Roman"/>
          <w:sz w:val="28"/>
          <w:szCs w:val="28"/>
        </w:rPr>
        <w:t>Quy chuẩn kỹ thuật quốc gia về trụ sạc và trạm sạc xe điện được ban hành kèm theo Thông tư số …/2026/TT-BCT ngày … tháng … năm 2026 của Bộ trưởng Bộ Công Thương.</w:t>
      </w:r>
    </w:p>
    <w:p w14:paraId="116622DD" w14:textId="0AFA08E4" w:rsidR="00D711FD" w:rsidRPr="00170D17" w:rsidRDefault="00FF2592" w:rsidP="00170D17">
      <w:pPr>
        <w:spacing w:before="120" w:line="240" w:lineRule="auto"/>
        <w:ind w:firstLine="720"/>
        <w:rPr>
          <w:rFonts w:cs="Times New Roman"/>
          <w:sz w:val="28"/>
          <w:szCs w:val="28"/>
        </w:rPr>
      </w:pPr>
      <w:r w:rsidRPr="00170D17">
        <w:rPr>
          <w:rFonts w:cs="Times New Roman"/>
          <w:sz w:val="28"/>
          <w:szCs w:val="28"/>
        </w:rPr>
        <w:t>Việc ban hành Quy chuẩn bằng Thông tư của Bộ trưởng Bộ Công Thương bảo đảm phù hợp với thẩm quyền quản lý nhà nước của Bộ Công Thương, đáp ứng yêu cầu thiết lập các yêu cầu kỹ thuật tối thiểu bắt buộc đối với sản phẩm trụ sạc và hệ thống trạm sạc xe điện; đồng thời tạo cơ sở thống nhất để tổ chức đánh giá sự phù hợp, quản lý chất lượng sản phẩm, thiết kế, lắp đặt, nghiệm thu, vận hành, kiểm tra và xử lý các nguy cơ mất an toàn trong quá trình khai thác.</w:t>
      </w:r>
    </w:p>
    <w:p w14:paraId="2247D115" w14:textId="764BE855"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II. </w:t>
      </w:r>
      <w:r w:rsidR="00FF2592" w:rsidRPr="00170D17">
        <w:rPr>
          <w:rFonts w:cs="Times New Roman"/>
          <w:b/>
          <w:sz w:val="28"/>
          <w:szCs w:val="28"/>
        </w:rPr>
        <w:t>ĐẶT VẤN ĐỀ</w:t>
      </w:r>
    </w:p>
    <w:p w14:paraId="382CD863" w14:textId="08867D61"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1. </w:t>
      </w:r>
      <w:r w:rsidR="00FF2592" w:rsidRPr="00170D17">
        <w:rPr>
          <w:rFonts w:cs="Times New Roman"/>
          <w:b/>
          <w:sz w:val="28"/>
          <w:szCs w:val="28"/>
        </w:rPr>
        <w:t>Tổng quan về trụ sạc và trạm sạc xe điện</w:t>
      </w:r>
    </w:p>
    <w:p w14:paraId="3BE4E587" w14:textId="2D1B2BE7" w:rsidR="00FF2592" w:rsidRPr="00170D17" w:rsidRDefault="00FF2592" w:rsidP="00170D17">
      <w:pPr>
        <w:spacing w:before="120" w:line="240" w:lineRule="auto"/>
        <w:ind w:firstLine="720"/>
        <w:rPr>
          <w:rFonts w:cs="Times New Roman"/>
          <w:i/>
          <w:iCs/>
          <w:sz w:val="28"/>
          <w:szCs w:val="28"/>
        </w:rPr>
      </w:pPr>
      <w:r w:rsidRPr="00170D17">
        <w:rPr>
          <w:rFonts w:cs="Times New Roman"/>
          <w:i/>
          <w:iCs/>
          <w:sz w:val="28"/>
          <w:szCs w:val="28"/>
        </w:rPr>
        <w:t xml:space="preserve">a) </w:t>
      </w:r>
      <w:r w:rsidRPr="00170D17">
        <w:rPr>
          <w:rFonts w:cs="Times New Roman"/>
          <w:i/>
          <w:iCs/>
          <w:sz w:val="28"/>
          <w:szCs w:val="28"/>
        </w:rPr>
        <w:t>Khái niệm và vai trò của hạ tầng sạc xe điện</w:t>
      </w:r>
    </w:p>
    <w:p w14:paraId="257A04EF"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Phát triển phương tiện giao thông đường bộ sử dụng điện là một trong những giải pháp quan trọng nhằm giảm dần sự phụ thuộc vào nhiên liệu hóa thạch, nâng cao hiệu quả sử dụng năng lượng, giảm phát thải khí nhà kính và thúc đẩy chuyển đổi xanh trong ngành giao thông vận tải. Cùng với sự phát triển của phương tiện điện, hạ tầng sạc giữ vai trò thiết yếu, quyết định khả năng tiếp cận, tính thuận tiện, phạm vi hoạt động và mức độ chấp nhận của người sử dụng đối với xe điện.</w:t>
      </w:r>
    </w:p>
    <w:p w14:paraId="112CF075"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Trong thực tiễn, các khái niệm “trụ sạc”, “cổng sạc”, “điểm sạc” và “trạm sạc” có thời điểm được sử dụng thay thế cho nhau, dẫn đến khó khăn trong thống kê, quản lý, thiết kế và áp dụng yêu cầu kỹ thuật. Dự thảo Quy chuẩn phân định rõ hai đối tượng quản lý chính như sau:</w:t>
      </w:r>
    </w:p>
    <w:p w14:paraId="483CB294"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Trụ sạc xe điện là thiết bị hoặc tổ hợp thiết bị tĩnh dùng để cấp điện có điều khiển cho xe điện, bao gồm bộ phận chuyển đổi điện năng, điều khiển, bảo vệ, giao tiếp, đo lường, cáp sạc, đầu nối và giao diện người sử dụng tùy theo cấu hình sản phẩm.</w:t>
      </w:r>
    </w:p>
    <w:p w14:paraId="40A91926" w14:textId="00D96363"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lastRenderedPageBreak/>
        <w:t xml:space="preserve">- </w:t>
      </w:r>
      <w:r w:rsidRPr="00170D17">
        <w:rPr>
          <w:rFonts w:cs="Times New Roman"/>
          <w:sz w:val="28"/>
          <w:szCs w:val="28"/>
        </w:rPr>
        <w:t>Trạm sạc xe điện là tổ hợp công trình và thiết bị kỹ thuật được lắp đặt tại một địa điểm xác định, bao gồm một hoặc nhiều trụ sạc và các hệ thống phụ trợ như cấp điện, phân phối điện, bảo vệ, điều khiển, giám sát, thanh toán, chiếu sáng, biển báo, phòng cháy, chữa cháy và hạ tầng liên quan nhằm cung cấp điện năng để sạc cho xe điện.</w:t>
      </w:r>
    </w:p>
    <w:p w14:paraId="32368E23"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Như vậy, trụ sạc là một sản phẩm, thiết bị cấu thành của trạm sạc; còn trạm sạc là một hệ thống hoàn chỉnh, được hình thành trên cơ sở tích hợp nhiều hạng mục kỹ thuật tại một địa điểm. Việc trụ sạc đáp ứng yêu cầu an toàn sản phẩm là điều kiện cần nhưng chưa đủ để bảo đảm an toàn cho toàn bộ trạm sạc. An toàn của trạm còn phụ thuộc vào chất lượng thiết kế, khả năng cấp điện, phương thức đấu nối, hệ thống bảo vệ, nối đất, chống sét, nền móng, thoát nước, tổ chức giao thông, phòng cháy, chữa cháy, giám sát, điều khiển, bảo trì và năng lực của đơn vị vận hành.</w:t>
      </w:r>
    </w:p>
    <w:p w14:paraId="71F7AB8E"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Về cấu trúc kỹ thuật, một trạm sạc điển hình được hình thành theo chuỗi từ điểm đấu nối chung với lưới điện hoặc nguồn cấp, thiết bị đo đếm và đóng cắt, trạm biến áp hoặc tủ phân phối, hệ thống cáp và bảo vệ, trụ sạc, cụm cáp và đầu nối đến phương tiện điện. Song song với chuỗi truyền tải điện năng là lớp điều khiển và dữ liệu, bao gồm hệ thống giám sát, quản lý phụ tải, giao tiếp với trụ sạc, ghi nhận điện năng, quản lý giao dịch, cảnh báo sự cố và hỗ trợ vận hành. Trạm sạc còn có lớp hạ tầng vật lý gồm ô sạc, đường nội bộ, nền và bệ móng, hệ thống thoát nước, chiếu sáng, biển báo, camera, phương tiện phòng cháy, chữa cháy và khu vực thao tác của người sử dụng.</w:t>
      </w:r>
    </w:p>
    <w:p w14:paraId="2B762BED" w14:textId="457D546E" w:rsidR="001A0BDB" w:rsidRPr="00170D17" w:rsidRDefault="00FF2592" w:rsidP="00170D17">
      <w:pPr>
        <w:spacing w:before="120" w:line="240" w:lineRule="auto"/>
        <w:ind w:firstLine="720"/>
        <w:rPr>
          <w:rFonts w:cs="Times New Roman"/>
          <w:sz w:val="28"/>
          <w:szCs w:val="28"/>
        </w:rPr>
      </w:pPr>
      <w:r w:rsidRPr="00170D17">
        <w:rPr>
          <w:rFonts w:cs="Times New Roman"/>
          <w:sz w:val="28"/>
          <w:szCs w:val="28"/>
        </w:rPr>
        <w:t>Việc xây dựng Quy chuẩn tích hợp đối với cả trụ sạc và trạm sạc cho phép quản lý đồng bộ từ chất lượng sản phẩm đưa ra thị trường đến chất lượng hệ thống sau lắp đặt, khắc phục tình trạng chỉ kiểm soát thiết bị riêng lẻ nhưng thiếu yêu cầu đối với việc bố trí, đấu nối và vận hành tại địa điểm sử dụng.</w:t>
      </w:r>
    </w:p>
    <w:p w14:paraId="6F7FF464" w14:textId="77777777" w:rsidR="001A0BDB" w:rsidRPr="00170D17" w:rsidRDefault="009D1917" w:rsidP="00170D17">
      <w:pPr>
        <w:spacing w:before="120" w:line="240" w:lineRule="auto"/>
        <w:ind w:firstLine="720"/>
        <w:rPr>
          <w:rFonts w:cs="Times New Roman"/>
          <w:sz w:val="28"/>
          <w:szCs w:val="28"/>
        </w:rPr>
      </w:pPr>
      <w:r w:rsidRPr="00170D17">
        <w:rPr>
          <w:rFonts w:cs="Times New Roman"/>
          <w:sz w:val="28"/>
          <w:szCs w:val="28"/>
        </w:rPr>
        <w:t>Trong thực tế, trụ sạc và trạm sạc được triển khai ở nhiều loại hình không gian khác nhau như bãi đỗ xe ngoài trời, tầng hầm, trung tâm thương mại, trạm dừng nghỉ, cửa hàng xăng dầu, bến xe, kho bãi, khu công nghiệp, khu dân cư và các điểm dịch vụ công cộng. Mỗi loại hình có điều kiện mặt bằng, cấp điện, thông gió, thoát nước, phòng cháy, chữa cháy, lưu lượng phương tiện và yêu cầu vận hành khác nhau. Nếu thiếu yêu cầu tối thiểu thống nhất, cùng một loại thiết bị có thể được lắp đặt theo nhiều cách khác nhau, làm phát sinh rủi ro trong quá trình sử dụng.</w:t>
      </w:r>
    </w:p>
    <w:p w14:paraId="1ACFA39B" w14:textId="6AB2355D" w:rsidR="001A0BDB" w:rsidRPr="00170D17" w:rsidRDefault="009D1917" w:rsidP="00170D17">
      <w:pPr>
        <w:spacing w:before="120" w:line="240" w:lineRule="auto"/>
        <w:ind w:firstLine="720"/>
        <w:rPr>
          <w:rFonts w:cs="Times New Roman"/>
          <w:sz w:val="28"/>
          <w:szCs w:val="28"/>
        </w:rPr>
      </w:pPr>
      <w:r w:rsidRPr="00170D17">
        <w:rPr>
          <w:rFonts w:cs="Times New Roman"/>
          <w:sz w:val="28"/>
          <w:szCs w:val="28"/>
        </w:rPr>
        <w:t>Việc ban hành Quy chuẩn là cần thiết để tạo khung quản lý bắt buộc ở mức tối thiểu, làm cơ sở cho các chủ thể thiết kế, đầu tư, nhập khẩu, lắp đặt, vận hành và kiểm tra, hậu kiểm. Quy chuẩn cũng tạo điều kiện để thị trường hạ tầng sạc phát triển theo hướng chuyên nghiệp, cạnh tranh lành mạnh, hạn chế tình trạng mỗi doanh nghiệp áp dụng một hệ yêu cầu riêng, khó kiểm tra và khó quy trách nhiệm khi xảy ra sự cố.</w:t>
      </w:r>
    </w:p>
    <w:p w14:paraId="51B61706" w14:textId="3C2A0DC7" w:rsidR="00FF2592" w:rsidRPr="00170D17" w:rsidRDefault="00FF2592" w:rsidP="00170D17">
      <w:pPr>
        <w:spacing w:before="120" w:line="240" w:lineRule="auto"/>
        <w:ind w:firstLine="720"/>
        <w:rPr>
          <w:rFonts w:cs="Times New Roman"/>
          <w:i/>
          <w:iCs/>
          <w:sz w:val="28"/>
          <w:szCs w:val="28"/>
        </w:rPr>
      </w:pPr>
      <w:r w:rsidRPr="00170D17">
        <w:rPr>
          <w:rFonts w:cs="Times New Roman"/>
          <w:i/>
          <w:iCs/>
          <w:sz w:val="28"/>
          <w:szCs w:val="28"/>
        </w:rPr>
        <w:t xml:space="preserve">b) </w:t>
      </w:r>
      <w:r w:rsidRPr="00170D17">
        <w:rPr>
          <w:rFonts w:cs="Times New Roman"/>
          <w:i/>
          <w:iCs/>
          <w:sz w:val="28"/>
          <w:szCs w:val="28"/>
        </w:rPr>
        <w:t>Phân loại trụ sạc và phương thức sạc</w:t>
      </w:r>
    </w:p>
    <w:p w14:paraId="0B1D49E6" w14:textId="77777777" w:rsidR="00FF2592" w:rsidRPr="00170D17" w:rsidRDefault="00FF2592" w:rsidP="00170D17">
      <w:pPr>
        <w:spacing w:before="120" w:line="240" w:lineRule="auto"/>
        <w:ind w:firstLine="720"/>
        <w:rPr>
          <w:rFonts w:cs="Times New Roman"/>
          <w:sz w:val="28"/>
          <w:szCs w:val="28"/>
        </w:rPr>
      </w:pPr>
      <w:r w:rsidRPr="00FF2592">
        <w:rPr>
          <w:rFonts w:cs="Times New Roman"/>
          <w:sz w:val="28"/>
          <w:szCs w:val="28"/>
        </w:rPr>
        <w:t>Căn cứ dạng dòng điện đầu ra, trụ sạc được phân thành:</w:t>
      </w:r>
    </w:p>
    <w:p w14:paraId="61704218"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lastRenderedPageBreak/>
        <w:t xml:space="preserve">- </w:t>
      </w:r>
      <w:r w:rsidRPr="00FF2592">
        <w:rPr>
          <w:rFonts w:cs="Times New Roman"/>
          <w:sz w:val="28"/>
          <w:szCs w:val="28"/>
        </w:rPr>
        <w:t>Trụ sạc điện xoay chiều (AC): cung cấp điện xoay chiều cho xe điện; việc chuyển đổi từ AC sang DC để sạc hệ thống lưu trữ năng lượng được thực hiện chủ yếu bởi thiết bị trên xe. Loại trụ này thường phù hợp với thời gian đỗ xe dài, công suất sạc từ thấp đến trung bình và có thể được bố trí tại nhiều loại địa điểm.</w:t>
      </w:r>
    </w:p>
    <w:p w14:paraId="02B5FDDC"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FF2592">
        <w:rPr>
          <w:rFonts w:cs="Times New Roman"/>
          <w:sz w:val="28"/>
          <w:szCs w:val="28"/>
        </w:rPr>
        <w:t>Trụ sạc điện một chiều (DC): có bộ biến đổi điện năng để cung cấp điện một chiều trực tiếp cho hệ thống lưu trữ năng lượng của xe điện theo thông số điện áp, dòng điện và giao tiếp điều khiển phù hợp. Trụ DC thường có công suất lớn, thời gian sạc ngắn hơn, được sử dụng nhiều tại trạm sạc công cộng, trạm dừng nghỉ hoặc các địa điểm có yêu cầu quay vòng phương tiện cao.</w:t>
      </w:r>
    </w:p>
    <w:p w14:paraId="7B74A654" w14:textId="03A07933" w:rsidR="00FF2592" w:rsidRPr="00FF2592"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FF2592">
        <w:rPr>
          <w:rFonts w:cs="Times New Roman"/>
          <w:sz w:val="28"/>
          <w:szCs w:val="28"/>
        </w:rPr>
        <w:t>Trụ sạc kết hợp AC/DC hoặc cấu hình tủ nguồn – trụ phân phối: sử dụng một tủ nguồn hoặc hệ thống chuyển đổi điện năng tập trung để phân phối công suất đến một hoặc nhiều trụ/đầu sạc, cho phép điều phối công suất linh hoạt theo nhu cầu của phương tiện và khả năng nguồn cấp.</w:t>
      </w:r>
    </w:p>
    <w:p w14:paraId="451DEE9C" w14:textId="77777777" w:rsidR="00FF2592" w:rsidRPr="00FF2592" w:rsidRDefault="00FF2592" w:rsidP="00170D17">
      <w:pPr>
        <w:spacing w:before="120" w:line="240" w:lineRule="auto"/>
        <w:ind w:firstLine="720"/>
        <w:rPr>
          <w:rFonts w:cs="Times New Roman"/>
          <w:sz w:val="28"/>
          <w:szCs w:val="28"/>
        </w:rPr>
      </w:pPr>
      <w:r w:rsidRPr="00FF2592">
        <w:rPr>
          <w:rFonts w:cs="Times New Roman"/>
          <w:sz w:val="28"/>
          <w:szCs w:val="28"/>
        </w:rPr>
        <w:t>Dự thảo Quy chuẩn áp dụng đối với trụ sạc và trạm sạc dùng để sạc cho phương tiện giao thông đường bộ chạy điện, bao gồm ô tô điện thuần, ô tô điện hybrid nạp điện ngoài và các phương tiện đường bộ chạy điện tương tự có hệ thống lưu trữ năng lượng sạc lại được lắp trên xe. Giới hạn điện áp được xác định đến 1.000 V xoay chiều hoặc 1.500 V một chiều đối với điện áp cấp và điện áp ra, phù hợp với phạm vi của hệ thống tiêu chuẩn IEC 61851 và các tiêu chuẩn quốc gia tương ứng.</w:t>
      </w:r>
    </w:p>
    <w:p w14:paraId="6D487142" w14:textId="0F2DDFA6"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Dự thảo không điều chỉnh thiết bị sạc không dây; thiết bị điều khiển và bảo vệ tích hợp trên cáp dùng cho sạc chế độ 2; thiết bị sạc lắp trên xe; thiết bị cấp điện cho hệ thống lưu trữ năng lượng không lắp trên xe; thiết bị dùng riêng cho đường sắt, xe công nghiệp hoặc phương tiện chuyên dùng ngoài đường bộ. Việc xác định rõ phạm vi này giúp tập trung nguồn lực quản lý vào loại hình trụ sạc cố định và trạm sạc có dây đang được triển khai phổ biến, có mức độ tiếp xúc trực tiếp cao với người sử dụng và hệ thống điện.</w:t>
      </w:r>
    </w:p>
    <w:p w14:paraId="6DE9A1B8" w14:textId="3DF84C1E" w:rsidR="00FF2592" w:rsidRPr="00170D17" w:rsidRDefault="00FF2592" w:rsidP="00170D17">
      <w:pPr>
        <w:spacing w:before="120" w:line="240" w:lineRule="auto"/>
        <w:ind w:firstLine="720"/>
        <w:rPr>
          <w:rFonts w:cs="Times New Roman"/>
          <w:i/>
          <w:iCs/>
          <w:sz w:val="28"/>
          <w:szCs w:val="28"/>
        </w:rPr>
      </w:pPr>
      <w:r w:rsidRPr="00170D17">
        <w:rPr>
          <w:rFonts w:cs="Times New Roman"/>
          <w:i/>
          <w:iCs/>
          <w:sz w:val="28"/>
          <w:szCs w:val="28"/>
        </w:rPr>
        <w:t xml:space="preserve">c) </w:t>
      </w:r>
      <w:r w:rsidRPr="00170D17">
        <w:rPr>
          <w:rFonts w:cs="Times New Roman"/>
          <w:i/>
          <w:iCs/>
          <w:sz w:val="28"/>
          <w:szCs w:val="28"/>
        </w:rPr>
        <w:t>Các nhóm rủi ro cần quản lý</w:t>
      </w:r>
    </w:p>
    <w:p w14:paraId="43A237DD"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Quá trình thiết kế, lắp đặt và khai thác trụ sạc, trạm sạc có thể phát sinh nhiều nhóm rủi ro liên quan đồng thời đến sản phẩm, hệ thống điện, địa điểm và phương thức vận hành. Các nhóm rủi ro chủ yếu gồm:</w:t>
      </w:r>
    </w:p>
    <w:p w14:paraId="4EC013A0"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điện giật do hư hỏng cách điện, dòng rò, nối đất không bảo đảm, đầu nối hoặc cáp sạc bị hư hỏng, nước xâm nhập hoặc thao tác không đúng.</w:t>
      </w:r>
    </w:p>
    <w:p w14:paraId="2D35AC50"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quá dòng, ngắn mạch, quá nhiệt, quá áp, xung sét, mất phối hợp bảo vệ hoặc sự cố bộ biến đổi công suất, có thể gây hư hỏng thiết bị, cháy và gián đoạn cấp điện.</w:t>
      </w:r>
    </w:p>
    <w:p w14:paraId="25F33376"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ảnh hưởng đến lưới điện do tổng công suất sạc lớn, công suất thay đổi nhanh, sóng hài, hệ số công suất thấp, mất cân bằng pha, nhấp nháy điện áp hoặc vận hành đồng thời nhiều trụ sạc mà không có quản lý phụ tải.</w:t>
      </w:r>
    </w:p>
    <w:p w14:paraId="3F4EFAA5"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lastRenderedPageBreak/>
        <w:t xml:space="preserve">- </w:t>
      </w:r>
      <w:r w:rsidRPr="00170D17">
        <w:rPr>
          <w:rFonts w:cs="Times New Roman"/>
          <w:sz w:val="28"/>
          <w:szCs w:val="28"/>
        </w:rPr>
        <w:t>Nguy cơ về phòng cháy, chữa cháy do thiết bị điện công suất lớn, cáp và đầu nối quá nhiệt, sự cố của phương tiện hoặc hệ thống lưu trữ năng lượng, bố trí phương tiện chữa cháy không phù hợp hoặc thiếu khả năng ngắt điện khẩn cấp.</w:t>
      </w:r>
    </w:p>
    <w:p w14:paraId="0EB39225"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cơ học và giao thông do phương tiện va chạm trụ sạc, nền móng và bu lông neo không bảo đảm, cáp sạc chắn lối đi, ô sạc không đủ kích thước, đường nội bộ và bán kính quay không phù hợp.</w:t>
      </w:r>
    </w:p>
    <w:p w14:paraId="62DF55CE"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môi trường do mưa, nắng, bụi, độ ẩm, ăn mòn, ngập úng, thoát nước không bảo đảm, nhiệt độ môi trường hoặc rung động vượt quá điều kiện thiết kế của thiết bị.</w:t>
      </w:r>
    </w:p>
    <w:p w14:paraId="42427965"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đo lường và giao dịch do thiết bị đo không được quản lý theo quy định, dữ liệu điện năng không thống nhất, phương thức tính cước không minh bạch, sai lệch thời gian hoặc dữ liệu giao dịch không thể truy xuất.</w:t>
      </w:r>
    </w:p>
    <w:p w14:paraId="2076D9CC" w14:textId="777777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về điều khiển, dữ liệu và an toàn thông tin do truy cập trái phép, thay đổi cấu hình, lỗi phần mềm, mất kết nối, cập nhật không kiểm soát hoặc việc tích hợp hệ thống quản lý trạm với nền tảng thanh toán và mạng công cộng.</w:t>
      </w:r>
    </w:p>
    <w:p w14:paraId="7E853681" w14:textId="0BB6AA8A"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Nguy cơ trong quá trình vận hành do thiếu quy trình kiểm tra, bảo trì, xử lý sự cố, thiếu nhân sự được hướng dẫn phù hợp, không dừng khai thác khi phát hiện hư hỏng hoặc không lưu giữ hồ sơ để truy xuất.</w:t>
      </w:r>
    </w:p>
    <w:p w14:paraId="798CE8BF" w14:textId="5788F277" w:rsidR="00FF2592" w:rsidRPr="00170D17" w:rsidRDefault="00FF2592" w:rsidP="00170D17">
      <w:pPr>
        <w:spacing w:before="120" w:line="240" w:lineRule="auto"/>
        <w:ind w:firstLine="720"/>
        <w:rPr>
          <w:rFonts w:cs="Times New Roman"/>
          <w:sz w:val="28"/>
          <w:szCs w:val="28"/>
        </w:rPr>
      </w:pPr>
      <w:r w:rsidRPr="00170D17">
        <w:rPr>
          <w:rFonts w:cs="Times New Roman"/>
          <w:sz w:val="28"/>
          <w:szCs w:val="28"/>
        </w:rPr>
        <w:t>Các rủi ro nêu trên có quan hệ chặt chẽ với nhau và không thể được kiểm soát đầy đủ bằng một tiêu chuẩn sản phẩm đơn lẻ. Vì vậy, Quy chuẩn được xây dựng theo hướng kết hợp yêu cầu đối với trụ sạc với yêu cầu đối với toàn bộ trạm sạc và quy định quản lý trong suốt vòng đời khai thác.</w:t>
      </w:r>
    </w:p>
    <w:p w14:paraId="2AC42DC7" w14:textId="62BFF9E2"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2. </w:t>
      </w:r>
      <w:r w:rsidR="00FF2592" w:rsidRPr="00170D17">
        <w:rPr>
          <w:rFonts w:cs="Times New Roman"/>
          <w:b/>
          <w:sz w:val="28"/>
          <w:szCs w:val="28"/>
        </w:rPr>
        <w:t>Hiện trạng phát triển hạ tầng sạc trên thế giới</w:t>
      </w:r>
    </w:p>
    <w:p w14:paraId="0D441B87"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Sự phát triển của hạ tầng sạc diễn ra song hành với tốc độ tăng trưởng của thị trường xe điện. Theo số liệu của Cơ quan Năng lượng quốc tế được sử dụng trong hồ sơ thuyết minh ban đầu, quy mô xe điện toàn cầu đạt khoảng 10 triệu xe năm 2022, 14 triệu xe năm 2023 và có thể tiếp tục tăng mạnh đến năm 2030. Sự gia tăng nhanh số lượng phương tiện làm phát sinh nhu cầu đầu tư đồng bộ các điểm sạc công cộng, sạc tại nơi làm việc, nơi trông giữ xe và trên các tuyến giao thông chính.</w:t>
      </w:r>
    </w:p>
    <w:p w14:paraId="08E0BC40"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Tại Bắc Mỹ, Hoa Kỳ đã bố trí 7,5 tỷ USD thông qua chương trình đầu tư cơ sở hạ tầng để phát triển mạng lưới sạc, hướng tới mục tiêu 500.000 điểm sạc công cộng vào năm 2030. Dữ liệu tổng hợp trong hồ sơ cho thấy số lượng điểm/cổng sạc công cộng tăng nhanh từ khoảng 16.000 năm 2016 lên khoảng 121.000 năm 2022 và tiếp tục mở rộng trong năm 2023. Canada cũng thực hiện chính sách hỗ trợ đầu tư, ưu đãi và mở rộng hạ tầng sạc tại khu vực đô thị, hành lang đường bộ, vùng nông thôn và khu vực xa trung tâm.</w:t>
      </w:r>
    </w:p>
    <w:p w14:paraId="30A28B30"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Châu Âu là khu vực có mật độ hạ tầng sạc cao, được thúc đẩy bởi các chương trình chuyển đổi xanh, yêu cầu về hạ tầng nhiên liệu thay thế và mục tiêu giảm phát thải trong giao thông. Đức, Hà Lan và Na Uy là các quốc gia có mạng lưới phát triển, trong đó Hà Lan có mật độ điểm sạc cao tại các đô thị; Na Uy có </w:t>
      </w:r>
      <w:r w:rsidRPr="00170D17">
        <w:rPr>
          <w:rFonts w:cs="Times New Roman"/>
          <w:sz w:val="28"/>
          <w:szCs w:val="28"/>
        </w:rPr>
        <w:lastRenderedPageBreak/>
        <w:t>tỷ lệ sử dụng xe điện lớn và yêu cầu cao về khả năng tiếp cận hạ tầng sạc; Đức tiếp tục mở rộng điểm sạc tại thành phố và đường cao tốc.</w:t>
      </w:r>
    </w:p>
    <w:p w14:paraId="66C28328"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Tại châu Á – Thái Bình Dương, Trung Quốc có quy mô hạ tầng sạc lớn, với số lượng điểm sạc công cộng tăng nhanh cùng thị trường xe điện. Nhật Bản chú trọng hệ thống sạc nhanh tại đô thị và khu dịch vụ đường cao tốc; Hàn Quốc triển khai chính sách hỗ trợ và đổi mới công nghệ để tăng độ phủ, hiệu quả và khả năng quản lý của mạng lưới sạc. Nhiều nền kinh tế trong khu vực đồng thời xây dựng yêu cầu về an toàn thiết bị, chuẩn đầu nối, giao tiếp, thử nghiệm, chứng nhận và đấu nối với hệ thống điện.</w:t>
      </w:r>
    </w:p>
    <w:p w14:paraId="4F2E83C0"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Ở các khu vực đang phát triển, việc đầu tư hạ tầng sạc có tốc độ chậm hơn nhưng đã được đưa vào chương trình hợp tác công – tư, quy hoạch giao thông xanh và dự án thí điểm tại các thành phố lớn, khu du lịch và hành lang giao thông. Xu hướng chung là chuyển dần từ việc chỉ khuyến khích lắp đặt thiết bị sang quản lý đồng bộ địa điểm sạc, khả năng cấp điện, an toàn, đo lường, thanh toán và dữ liệu vận hành.</w:t>
      </w:r>
    </w:p>
    <w:p w14:paraId="46813E02"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Số liệu về hạ tầng sạc giữa các quốc gia có thể sử dụng đơn vị thống kê khác nhau như địa điểm trạm, trụ sạc, cổng sạc hoặc đầu nối. Do đó, ý nghĩa chủ yếu của các số liệu quốc tế trong hồ sơ là phản ánh quy mô và tốc độ phát triển nhanh của hạ tầng, đồng thời cho thấy nhu cầu phải sớm hình thành hệ thống yêu cầu kỹ thuật bắt buộc. Khi áp dụng vào quản lý trong nước, cần thống nhất khái niệm và đơn vị thống kê theo các định nghĩa của Quy chuẩn.</w:t>
      </w:r>
    </w:p>
    <w:p w14:paraId="452C24C9"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Kinh nghiệm quốc tế cho thấy quản lý hạ tầng sạc thường bao gồm các lớp yêu cầu sau:</w:t>
      </w:r>
    </w:p>
    <w:p w14:paraId="1E0E3DC5"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A</w:t>
      </w:r>
      <w:r w:rsidRPr="00170D17">
        <w:rPr>
          <w:rFonts w:cs="Times New Roman"/>
          <w:sz w:val="28"/>
          <w:szCs w:val="28"/>
        </w:rPr>
        <w:t>n toàn và tương thích của bản thân thiết bị cấp điện cho xe điện;</w:t>
      </w:r>
    </w:p>
    <w:p w14:paraId="1CAE08B2"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A</w:t>
      </w:r>
      <w:r w:rsidRPr="00170D17">
        <w:rPr>
          <w:rFonts w:cs="Times New Roman"/>
          <w:sz w:val="28"/>
          <w:szCs w:val="28"/>
        </w:rPr>
        <w:t>n toàn hệ thống lắp đặt điện và bảo vệ người sử dụng;</w:t>
      </w:r>
    </w:p>
    <w:p w14:paraId="319BD76D"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Y</w:t>
      </w:r>
      <w:r w:rsidRPr="00170D17">
        <w:rPr>
          <w:rFonts w:cs="Times New Roman"/>
          <w:sz w:val="28"/>
          <w:szCs w:val="28"/>
        </w:rPr>
        <w:t>êu cầu đối với đầu nối, cụm cáp và giao tiếp giữa xe với thiết bị sạc;</w:t>
      </w:r>
    </w:p>
    <w:p w14:paraId="5C72BB75"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Y</w:t>
      </w:r>
      <w:r w:rsidRPr="00170D17">
        <w:rPr>
          <w:rFonts w:cs="Times New Roman"/>
          <w:sz w:val="28"/>
          <w:szCs w:val="28"/>
        </w:rPr>
        <w:t>êu cầu đối với đấu nối lưới, chất lượng điện năng, đo đếm và điều chỉnh phụ tải;</w:t>
      </w:r>
    </w:p>
    <w:p w14:paraId="0953623E"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Y</w:t>
      </w:r>
      <w:r w:rsidRPr="00170D17">
        <w:rPr>
          <w:rFonts w:cs="Times New Roman"/>
          <w:sz w:val="28"/>
          <w:szCs w:val="28"/>
        </w:rPr>
        <w:t>êu cầu đối với bố trí địa điểm, tổ chức giao thông, nền móng, thoát nước, biển báo và phòng cháy, chữa cháy;</w:t>
      </w:r>
    </w:p>
    <w:p w14:paraId="16F4C3D1"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C</w:t>
      </w:r>
      <w:r w:rsidRPr="00170D17">
        <w:rPr>
          <w:rFonts w:cs="Times New Roman"/>
          <w:sz w:val="28"/>
          <w:szCs w:val="28"/>
        </w:rPr>
        <w:t>ơ chế thử nghiệm, chứng nhận sản phẩm và kiểm tra, nghiệm thu sau lắp đặt;</w:t>
      </w:r>
    </w:p>
    <w:p w14:paraId="2B735A7E" w14:textId="79445E08"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Y</w:t>
      </w:r>
      <w:r w:rsidRPr="00170D17">
        <w:rPr>
          <w:rFonts w:cs="Times New Roman"/>
          <w:sz w:val="28"/>
          <w:szCs w:val="28"/>
        </w:rPr>
        <w:t>êu cầu về thông tin giá, dữ liệu giao dịch, vận hành, bảo trì và xử lý sự cố.</w:t>
      </w:r>
    </w:p>
    <w:p w14:paraId="431CF52C" w14:textId="16154CDE" w:rsidR="001A0BDB" w:rsidRPr="00170D17" w:rsidRDefault="007B3606" w:rsidP="00170D17">
      <w:pPr>
        <w:spacing w:before="120" w:line="240" w:lineRule="auto"/>
        <w:ind w:firstLine="720"/>
        <w:rPr>
          <w:rFonts w:cs="Times New Roman"/>
          <w:sz w:val="28"/>
          <w:szCs w:val="28"/>
        </w:rPr>
      </w:pPr>
      <w:r w:rsidRPr="00170D17">
        <w:rPr>
          <w:rFonts w:cs="Times New Roman"/>
          <w:sz w:val="28"/>
          <w:szCs w:val="28"/>
        </w:rPr>
        <w:t>Việc tham khảo cách tiếp cận này phù hợp với nhu cầu của Việt Nam, đồng thời cho phép sử dụng các tiêu chuẩn IEC, ISO và TCVN đã được công nhận rộng rãi, giảm chi phí xây dựng yêu cầu riêng và tạo thuận lợi cho thương mại, đầu tư, sản xuất thiết bị.</w:t>
      </w:r>
    </w:p>
    <w:p w14:paraId="66482A13" w14:textId="2A6F120C"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3. </w:t>
      </w:r>
      <w:r w:rsidR="007B3606" w:rsidRPr="00170D17">
        <w:rPr>
          <w:rFonts w:cs="Times New Roman"/>
          <w:b/>
          <w:sz w:val="28"/>
          <w:szCs w:val="28"/>
        </w:rPr>
        <w:t>Hiện trạng phát triển và quản lý trong nước</w:t>
      </w:r>
    </w:p>
    <w:p w14:paraId="3DB7F077"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lastRenderedPageBreak/>
        <w:t>Trong những năm gần đây, thị trường phương tiện điện tại Việt Nam phát triển nhanh, với sự tham gia của doanh nghiệp sản xuất, lắp ráp trong nước và doanh nghiệp nhập khẩu. Theo số liệu tổng hợp trong quá trình xây dựng hồ sơ, năm 2023 có 15.676 xe ô tô điện thuần được tiêu thụ, trong đó 15.486 xe được sản xuất, lắp ráp trong nước và 190 xe nhập khẩu. Trong 6 tháng đầu năm 2024, số lượng xe ô tô điện thuần được tiêu thụ đạt 17.536 xe, trong đó 17.482 xe được sản xuất, lắp ráp trong nước và 54 xe nhập khẩu. Các số liệu này cho thấy tốc độ tăng trưởng đáng kể của phương tiện điện và nhu cầu tương ứng đối với hạ tầng sạc.</w:t>
      </w:r>
    </w:p>
    <w:p w14:paraId="5490D122"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Cùng với sự phát triển của xe điện, nhiều doanh nghiệp đã đầu tư, sản xuất, nhập khẩu, cung cấp trụ sạc và dịch vụ sạc. Hệ thống sạc được phát triển theo nhiều mô hình, gồm mạng lưới sạc do nhà sản xuất phương tiện đầu tư; trụ sạc tại đại lý; trụ sạc bán hoặc lắp đặt cho khách hàng; mạng sạc công cộng do doanh nghiệp độc lập vận hành; và giải pháp sạc tại nơi làm việc, nơi trông giữ xe hoặc khu dịch vụ. Theo số liệu được tổng hợp trong hồ sơ ban đầu, một mạng lưới lớn đã phát triển khoảng 150.000 cổng sạc với công suất đến 360 kW trên phạm vi toàn quốc. Bên cạnh đó, nhiều nhà cung cấp trong và ngoài nước tham gia thị trường thiết bị, phần mềm, thanh toán, vận hành và bảo trì.</w:t>
      </w:r>
    </w:p>
    <w:p w14:paraId="52B3DF44"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Sự đa dạng về chủ thể, công nghệ, chuẩn đầu nối, công suất và mô hình kinh doanh tạo động lực phát triển thị trường nhưng cũng đặt ra yêu cầu thống nhất về an toàn và chất lượng. Trụ sạc đang được sản xuất, nhập khẩu và lưu thông theo tiêu chuẩn quốc tế, tiêu chuẩn quốc gia, tiêu chuẩn nước ngoài hoặc tiêu chuẩn do doanh nghiệp công bố. Trong khi đó, các yêu cầu đối với toàn bộ trạm sạc còn nằm rải rác trong pháp luật và quy chuẩn về điện lực, an toàn điện, xây dựng, phòng cháy, chữa cháy, đo lường, bảo vệ quyền lợi người tiêu dùng, giao thông và môi trường.</w:t>
      </w:r>
    </w:p>
    <w:p w14:paraId="24594889"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Một số khó khăn chủ yếu trong thực tiễn gồm:</w:t>
      </w:r>
    </w:p>
    <w:p w14:paraId="75D7BF95"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Chưa có văn bản kỹ thuật thống nhất phân định đầy đủ yêu cầu đối với sản phẩm trụ sạc và yêu cầu đối với hệ thống trạm sạc sau lắp đặt.</w:t>
      </w:r>
    </w:p>
    <w:p w14:paraId="0E1D7DD4"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Chủ đầu tư, đơn vị thiết kế, đơn vị lắp đặt và cơ quan địa phương gặp khó khăn khi xác định yêu cầu về mặt bằng, ô sạc, tổ chức giao thông, nền móng, thoát nước, khoảng cách thao tác và bảo vệ chống va chạm.</w:t>
      </w:r>
    </w:p>
    <w:p w14:paraId="106AD2AE"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Việc lựa chọn cấp điện áp, tính toán công suất, hệ số đồng thời, đấu nối, đo đếm, chất lượng điện năng và quản lý phụ tải chưa có hướng dẫn tích hợp dành riêng cho trạm sạc.</w:t>
      </w:r>
    </w:p>
    <w:p w14:paraId="29814E6B"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Yêu cầu về RCD, phát hiện dòng dư một chiều, bảo vệ quá dòng, ngắn mạch, xung sét, nối đất và ngắt điện khẩn cấp cần được áp dụng thống nhất giữa trụ sạc và hệ thống phân phối nội bộ.</w:t>
      </w:r>
    </w:p>
    <w:p w14:paraId="08793023"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Việc bố trí phương tiện phòng cháy, chữa cháy, biển cảnh báo, nội quy, tiêu lệnh, điều kiện ngừng khai thác và phối hợp xử lý sự cố cần được xác định rõ trong mối quan hệ với quy định chuyên ngành.</w:t>
      </w:r>
    </w:p>
    <w:p w14:paraId="7B0C923E"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lastRenderedPageBreak/>
        <w:t xml:space="preserve">- </w:t>
      </w:r>
      <w:r w:rsidRPr="00170D17">
        <w:rPr>
          <w:rFonts w:cs="Times New Roman"/>
          <w:sz w:val="28"/>
          <w:szCs w:val="28"/>
        </w:rPr>
        <w:t>Thiết bị đo điện năng sạc pin xe điện đã được đưa vào phạm vi quản lý phương tiện đo nhóm 2, nhưng việc tích hợp giữa đo lường trong trụ, đo giao nhận điện tại điểm đấu nối và dữ liệu tính phí dịch vụ cần được làm rõ.</w:t>
      </w:r>
    </w:p>
    <w:p w14:paraId="478BA923"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Trạm sạc công cộng ngày càng phụ thuộc vào phần mềm, truyền thông và nền tảng thanh toán; do đó cần có yêu cầu tối thiểu về đồng bộ thời gian, phân quyền, nhật ký, lưu trữ, sao lưu và bảo vệ dữ liệu.</w:t>
      </w:r>
    </w:p>
    <w:p w14:paraId="1BDAE0E0" w14:textId="7EC8ACBB"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Trạm hiện hữu được hình thành qua nhiều giai đoạn, có chất lượng và hồ sơ khác nhau; cần có lộ trình rà soát, khắc phục phù hợp, đồng thời xử lý ngay các nguy cơ trực tiếp đến an toàn.</w:t>
      </w:r>
    </w:p>
    <w:p w14:paraId="36F1C24C"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Bộ Khoa học và Công nghệ đã ban hành Thông tư số 03/2024/TT-BKHCN ngày 15/4/2024 sửa đổi, bổ sung quy định về đo lường đối với phương tiện đo nhóm 2, trong đó bổ sung quản lý thiết bị đo điện năng sạc pin xe điện. Quy định này góp phần bảo đảm minh bạch trong tính giá, bảo vệ quyền lợi người tiêu dùng và hạn chế gian lận đo lường. Tuy nhiên, quy định về đo lường chỉ giải quyết một cấu phần của hệ thống; việc bảo đảm an toàn và vận hành trạm vẫn cần một QCVN chuyên ngành, có khả năng liên kết các yêu cầu hiện có.</w:t>
      </w:r>
    </w:p>
    <w:p w14:paraId="283A47BE" w14:textId="73B7BE0A" w:rsidR="001A0BDB" w:rsidRPr="00170D17" w:rsidRDefault="007B3606" w:rsidP="00170D17">
      <w:pPr>
        <w:spacing w:before="120" w:line="240" w:lineRule="auto"/>
        <w:ind w:firstLine="720"/>
        <w:rPr>
          <w:rFonts w:cs="Times New Roman"/>
          <w:sz w:val="28"/>
          <w:szCs w:val="28"/>
        </w:rPr>
      </w:pPr>
      <w:r w:rsidRPr="00170D17">
        <w:rPr>
          <w:rFonts w:cs="Times New Roman"/>
          <w:sz w:val="28"/>
          <w:szCs w:val="28"/>
        </w:rPr>
        <w:t>Thực tiễn nêu trên cho thấy việc xây dựng QCVN về trụ sạc và trạm sạc là cần thiết, cấp bách, phù hợp với tốc độ phát triển thị trường và yêu cầu quản lý nhà nước. Quy chuẩn không thay thế các quy chuẩn chuyên ngành mà xác lập yêu cầu tối thiểu và điểm giao diện để các quy định về sản phẩm, điện lực, PCCC, xây dựng, đo lường và dữ liệu được áp dụng đồng bộ.</w:t>
      </w:r>
    </w:p>
    <w:p w14:paraId="5EDF1671" w14:textId="1F9261E3"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4. </w:t>
      </w:r>
      <w:r w:rsidR="007B3606" w:rsidRPr="00170D17">
        <w:rPr>
          <w:rFonts w:cs="Times New Roman"/>
          <w:b/>
          <w:sz w:val="28"/>
          <w:szCs w:val="28"/>
        </w:rPr>
        <w:t>Tình hình tiêu chuẩn hóa quốc tế</w:t>
      </w:r>
    </w:p>
    <w:p w14:paraId="5CBDF814" w14:textId="4A014501"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Ủy ban Kỹ thuật điện quốc tế đã thành lập Ban kỹ thuật IEC/TC 69 về hệ thống truyền năng lượng điện cho xe điện. Phạm vi hoạt động của Ban kỹ thuật bao gồm truyền năng lượng có dây, không dây, an toàn, tương thích điện từ, chế độ sạc, giao tiếp giữa phương tiện với thiết bị cấp điện và các chức năng liên quan đến tương tác giữa phương tiện với lưới điện.</w:t>
      </w:r>
    </w:p>
    <w:p w14:paraId="05911FC4"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Các bộ tiêu chuẩn quốc tế quan trọng gồm:</w:t>
      </w:r>
    </w:p>
    <w:p w14:paraId="4F645E2C"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61851, hệ thống sạc điện có dây dùng cho xe điện, quy định yêu cầu chung, EMC, trạm sạc DC, truyền thông số và các cấu hình thiết bị cấp điện;</w:t>
      </w:r>
    </w:p>
    <w:p w14:paraId="34A8445F"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61980, hệ thống truyền năng lượng không dây dùng cho xe điện;</w:t>
      </w:r>
    </w:p>
    <w:p w14:paraId="5280ECE9"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63119, trao đổi thông tin dùng cho dịch vụ roaming sạc xe điện;</w:t>
      </w:r>
    </w:p>
    <w:p w14:paraId="105CA0A3"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62893, cáp sạc dùng cho xe điện có điện áp danh định đến 0,6/1 kV;</w:t>
      </w:r>
    </w:p>
    <w:p w14:paraId="13F1D864"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62196, phích cắm, ổ cắm, đầu nối xe và ổ nối vào xe dùng cho sạc có dây;</w:t>
      </w:r>
    </w:p>
    <w:p w14:paraId="4E2C98E9"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ISO 15118, giao diện truyền thông giữa phương tiện giao thông đường bộ và lưới điện;</w:t>
      </w:r>
    </w:p>
    <w:p w14:paraId="70ADFBDA" w14:textId="45C789FF"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62423, thiết bị bảo vệ dòng dư kiểu F và kiểu B;</w:t>
      </w:r>
    </w:p>
    <w:p w14:paraId="5DA3C57E" w14:textId="131BB8A5"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xml:space="preserve">- </w:t>
      </w:r>
      <w:r w:rsidRPr="00170D17">
        <w:rPr>
          <w:rFonts w:cs="Times New Roman"/>
          <w:sz w:val="28"/>
          <w:szCs w:val="28"/>
        </w:rPr>
        <w:t>IEC 62955, thiết bị phát hiện dòng dư một chiều dùng cho sạc chế độ 3.</w:t>
      </w:r>
    </w:p>
    <w:p w14:paraId="6EDC50CE"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lastRenderedPageBreak/>
        <w:t>Bên cạnh tiêu chuẩn sản phẩm, hệ thống tiêu chuẩn IEC 60364 về lắp đặt điện hạ áp và IEC 61439 về cụm đóng cắt, điều khiển hạ áp cung cấp cơ sở quan trọng cho thiết kế hệ thống phân phối điện, bảo vệ, nối đất và tủ điện của trạm sạc. Các tiêu chuẩn ISO/IEC 17025 và ISO/IEC 17065 xác lập yêu cầu năng lực đối với phòng thử nghiệm và tổ chức chứng nhận, tạo cơ sở cho hoạt động đánh giá sự phù hợp và thừa nhận kết quả.</w:t>
      </w:r>
    </w:p>
    <w:p w14:paraId="1A7BF898"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Việc sử dụng tiêu chuẩn quốc tế làm cơ sở xây dựng QCVN có các lợi ích chủ yếu sau:</w:t>
      </w:r>
    </w:p>
    <w:p w14:paraId="161A3DC5"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B</w:t>
      </w:r>
      <w:r w:rsidRPr="00170D17">
        <w:rPr>
          <w:rFonts w:cs="Times New Roman"/>
          <w:sz w:val="28"/>
          <w:szCs w:val="28"/>
        </w:rPr>
        <w:t>ảo đảm mức độ an toàn tương thích với thông lệ quốc tế;</w:t>
      </w:r>
    </w:p>
    <w:p w14:paraId="2BD4B438"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T</w:t>
      </w:r>
      <w:r w:rsidRPr="00170D17">
        <w:rPr>
          <w:rFonts w:cs="Times New Roman"/>
          <w:sz w:val="28"/>
          <w:szCs w:val="28"/>
        </w:rPr>
        <w:t>ận dụng kết quả nghiên cứu, thử nghiệm và kinh nghiệm áp dụng đã được tích lũy;</w:t>
      </w:r>
    </w:p>
    <w:p w14:paraId="50AE1773"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T</w:t>
      </w:r>
      <w:r w:rsidRPr="00170D17">
        <w:rPr>
          <w:rFonts w:cs="Times New Roman"/>
          <w:sz w:val="28"/>
          <w:szCs w:val="28"/>
        </w:rPr>
        <w:t>ạo thuận lợi cho sản phẩm nhập khẩu, sản xuất trong nước và xuất khẩu;</w:t>
      </w:r>
    </w:p>
    <w:p w14:paraId="4C312AB3" w14:textId="77777777" w:rsidR="007B3606" w:rsidRPr="00170D17" w:rsidRDefault="007B3606" w:rsidP="00170D17">
      <w:pPr>
        <w:spacing w:before="120" w:line="240" w:lineRule="auto"/>
        <w:ind w:firstLine="720"/>
        <w:rPr>
          <w:rFonts w:cs="Times New Roman"/>
          <w:sz w:val="28"/>
          <w:szCs w:val="28"/>
        </w:rPr>
      </w:pPr>
      <w:r w:rsidRPr="00170D17">
        <w:rPr>
          <w:rFonts w:cs="Times New Roman"/>
          <w:sz w:val="28"/>
          <w:szCs w:val="28"/>
        </w:rPr>
        <w:t>- H</w:t>
      </w:r>
      <w:r w:rsidRPr="00170D17">
        <w:rPr>
          <w:rFonts w:cs="Times New Roman"/>
          <w:sz w:val="28"/>
          <w:szCs w:val="28"/>
        </w:rPr>
        <w:t>ỗ trợ thừa nhận kết quả thử nghiệm, giảm thử nghiệm trùng lặp;</w:t>
      </w:r>
    </w:p>
    <w:p w14:paraId="328174D8" w14:textId="008AA15D" w:rsidR="001A0BDB" w:rsidRPr="00170D17" w:rsidRDefault="007B3606" w:rsidP="00170D17">
      <w:pPr>
        <w:spacing w:before="120" w:line="240" w:lineRule="auto"/>
        <w:ind w:firstLine="720"/>
        <w:rPr>
          <w:rFonts w:cs="Times New Roman"/>
          <w:sz w:val="28"/>
          <w:szCs w:val="28"/>
        </w:rPr>
      </w:pPr>
      <w:r w:rsidRPr="00170D17">
        <w:rPr>
          <w:rFonts w:cs="Times New Roman"/>
          <w:sz w:val="28"/>
          <w:szCs w:val="28"/>
        </w:rPr>
        <w:t>- D</w:t>
      </w:r>
      <w:r w:rsidRPr="00170D17">
        <w:rPr>
          <w:rFonts w:cs="Times New Roman"/>
          <w:sz w:val="28"/>
          <w:szCs w:val="28"/>
        </w:rPr>
        <w:t>uy trì tính trung lập công nghệ và khả năng cập nhật khi công nghệ sạc phát triển.</w:t>
      </w:r>
    </w:p>
    <w:p w14:paraId="615D18D7" w14:textId="08DEFAEF" w:rsidR="007B3606" w:rsidRPr="00170D17" w:rsidRDefault="007B3606" w:rsidP="00170D17">
      <w:pPr>
        <w:spacing w:before="120" w:line="240" w:lineRule="auto"/>
        <w:ind w:firstLine="720"/>
        <w:rPr>
          <w:rFonts w:cs="Times New Roman"/>
          <w:b/>
          <w:sz w:val="28"/>
          <w:szCs w:val="28"/>
        </w:rPr>
      </w:pPr>
      <w:r w:rsidRPr="00170D17">
        <w:rPr>
          <w:rFonts w:cs="Times New Roman"/>
          <w:b/>
          <w:sz w:val="28"/>
          <w:szCs w:val="28"/>
        </w:rPr>
        <w:t xml:space="preserve">5. </w:t>
      </w:r>
      <w:r w:rsidRPr="00170D17">
        <w:rPr>
          <w:rFonts w:cs="Times New Roman"/>
          <w:b/>
          <w:sz w:val="28"/>
          <w:szCs w:val="28"/>
        </w:rPr>
        <w:t>Tình hình tiêu chuẩn, quy chuẩn trong nước</w:t>
      </w:r>
    </w:p>
    <w:p w14:paraId="6F7450CA"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Năm 2022, Việt Nam thành lập Ban kỹ thuật tiêu chuẩn quốc gia TCVN/TC E16 về hệ thống truyền năng lượng cho xe điện. Cùng với TCVN/TC E4 về dây cáp điện và TCVN/TC E1 về máy điện, khí cụ điện, hệ thống ban kỹ thuật này đã xây dựng và chấp nhận nhiều tiêu chuẩn IEC thành tiêu chuẩn quốc gia.</w:t>
      </w:r>
    </w:p>
    <w:p w14:paraId="4F1FA43E"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Các TCVN liên quan trực tiếp gồm:</w:t>
      </w:r>
    </w:p>
    <w:p w14:paraId="2E321C53"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13078-1:2020 (IEC 61851-1:2017), Hệ thống sạc điện có dây dùng cho xe điện – Phần 1: Yêu cầu chung;</w:t>
      </w:r>
    </w:p>
    <w:p w14:paraId="36A41BFB"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13078-21-1:2020 (IEC 61851-21-1:2017), yêu cầu EMC của bộ sạc lắp trên xe;</w:t>
      </w:r>
    </w:p>
    <w:p w14:paraId="60369C3B"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13078-21-2:2020 (IEC 61851-21-2:2018), yêu cầu EMC của bộ sạc không lắp trên xe;</w:t>
      </w:r>
    </w:p>
    <w:p w14:paraId="64CD03D0"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13078-23:2020 (IEC 61851-23:2014), trạm sạc điện một chiều;</w:t>
      </w:r>
    </w:p>
    <w:p w14:paraId="0B245FA6"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13078-24:2022 (IEC 61851-24:2014), truyền thông số để điều khiển quá trình sạc một chiều;</w:t>
      </w:r>
    </w:p>
    <w:p w14:paraId="33BE8959"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13078-25:2023 (IEC 61851-25:2020), thiết bị cấp điện một chiều có bảo vệ dựa trên phân cách điện;</w:t>
      </w:r>
    </w:p>
    <w:p w14:paraId="6A32E7AD"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13510:2022, thiết bị điều khiển và bảo vệ tích hợp trên cáp dùng cho sạc chế độ 2;</w:t>
      </w:r>
    </w:p>
    <w:p w14:paraId="06DD95C0"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13724-7:2023 (IEC 61439-7:2022), cụm đóng cắt và điều khiển hạ áp dùng cho các ứng dụng đặc biệt, trong đó có trạm sạc xe điện;</w:t>
      </w:r>
    </w:p>
    <w:p w14:paraId="4724F23D" w14:textId="470075C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TCVN 7447-7-722:2023 (IEC 60364-7-722:2018), hệ thống lắp đặt điện hạ áp – nguồn cấp cho xe điện.</w:t>
      </w:r>
    </w:p>
    <w:p w14:paraId="6F6DD6D7" w14:textId="77777777"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lastRenderedPageBreak/>
        <w:t>Ngoài ra, QCVN 25:2025/BCT và QCVN 26:2025/BCT là cơ sở để điều chỉnh an toàn điện, hệ thống truyền tải, phân phối, đấu nối, đo đếm, điều độ và vận hành hệ thống điện. QCVN 06:2022/BXD và TCVN 3890:2023 là căn cứ liên quan đến an toàn cháy, trang bị và bố trí phương tiện phòng cháy, chữa cháy. Hệ thống quy định về đo lường, ghi nhãn, bảo vệ quyền lợi người tiêu dùng, an toàn thông tin, dữ liệu cá nhân và giao dịch điện tử tiếp tục được áp dụng đối với các chức năng tương ứng của trụ và trạm sạc.</w:t>
      </w:r>
    </w:p>
    <w:p w14:paraId="6D4D4DAE" w14:textId="0D90E8D5" w:rsidR="007B3606" w:rsidRPr="00170D17" w:rsidRDefault="007B3606" w:rsidP="00170D17">
      <w:pPr>
        <w:spacing w:before="120" w:line="240" w:lineRule="auto"/>
        <w:ind w:firstLine="720"/>
        <w:rPr>
          <w:rFonts w:cs="Times New Roman"/>
          <w:bCs/>
          <w:sz w:val="28"/>
          <w:szCs w:val="28"/>
        </w:rPr>
      </w:pPr>
      <w:r w:rsidRPr="00170D17">
        <w:rPr>
          <w:rFonts w:cs="Times New Roman"/>
          <w:bCs/>
          <w:sz w:val="28"/>
          <w:szCs w:val="28"/>
        </w:rPr>
        <w:t>Hệ thống tiêu chuẩn, quy chuẩn nêu trên đã tạo nền tảng kỹ thuật quan trọng nhưng có tính chất phân tán theo từng sản phẩm hoặc lĩnh vực. TCVN về hệ thống sạc chủ yếu là tiêu chuẩn tự nguyện nếu chưa được viện dẫn trong QCVN. Quy định điện lực điều chỉnh hệ thống điện nói chung nhưng chưa cụ thể hóa toàn bộ cấu hình trạm sạc. Quy định PCCC, xây dựng, đo lường và dữ liệu được áp dụng theo lĩnh vực riêng. Vì vậy, QCVN mới có vai trò lựa chọn, tích hợp và chuyển hóa các yêu cầu thiết yếu thành nghĩa vụ tối thiểu bắt buộc, đồng thời dẫn chiếu để tránh trùng lặp với pháp luật chuyên ngành.</w:t>
      </w:r>
    </w:p>
    <w:p w14:paraId="0B40EC54" w14:textId="7A778C52"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t xml:space="preserve">6. </w:t>
      </w:r>
      <w:r w:rsidRPr="00170D17">
        <w:rPr>
          <w:rFonts w:cs="Times New Roman"/>
          <w:b/>
          <w:sz w:val="28"/>
          <w:szCs w:val="28"/>
        </w:rPr>
        <w:t>Căn cứ chính trị, pháp lý và chỉ đạo xây dựng</w:t>
      </w:r>
    </w:p>
    <w:p w14:paraId="755674CD"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Việc xây dựng dự thảo Thông tư và QCVN được thực hiện trên cơ sở các chủ trương, quy định và yêu cầu quản lý sau:</w:t>
      </w:r>
    </w:p>
    <w:p w14:paraId="19BBC69C"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Nghị quyết số 55-NQ/TW ngày 11/02/2020 của Bộ Chính trị về định hướng Chiến lược phát triển năng lượng quốc gia của Việt Nam đến năm 2030, tầm nhìn đến năm 2045, trong đó đề ra nhiệm vụ khuyến khích sử dụng năng lượng sạch, tái tạo trong công nghiệp và giao thông, thúc đẩy phương tiện sử dụng điện năng phù hợp xu thế thế giới.</w:t>
      </w:r>
    </w:p>
    <w:p w14:paraId="7149AA00"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Luật Bảo vệ môi trường năm 2020, trong đó quy định chính sách ưu đãi, hỗ trợ, khuyến khích phương tiện giao thông công cộng, phương tiện sử dụng năng lượng tái tạo, có mức tiêu hao nhiên liệu thấp, phát thải thấp hoặc không phát thải và lộ trình chuyển đổi phương tiện sử dụng nhiên liệu hóa thạch.</w:t>
      </w:r>
    </w:p>
    <w:p w14:paraId="6A1709EC"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Luật Trật tự, an toàn giao thông đường bộ năm 2024, trong đó xác định định hướng ưu tiên chuyển đổi phương tiện sử dụng nhiên liệu hóa thạch sang phương tiện sử dụng điện, năng lượng xanh, thân thiện môi trường và phát triển hạ tầng cung cấp năng lượng sạch.</w:t>
      </w:r>
    </w:p>
    <w:p w14:paraId="240A5C5F"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Cam kết của Việt Nam tại COP26 về mục tiêu phát thải ròng bằng “0” vào năm 2050 và Đóng góp do quốc gia tự quyết định cập nhật năm 2022.</w:t>
      </w:r>
    </w:p>
    <w:p w14:paraId="19C32DB3"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Quyết định số 876/QĐ-TTg ngày 22/7/2022 của Thủ tướng Chính phủ phê duyệt Chương trình hành động về chuyển đổi năng lượng xanh, giảm phát thải khí carbon và methane của ngành giao thông vận tải.</w:t>
      </w:r>
    </w:p>
    <w:p w14:paraId="4293637F"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Công văn số 8526/VPCP-KGVX ngày 20/11/2024 của Văn phòng Chính phủ truyền đạt ý kiến chỉ đạo về xây dựng biện pháp quản lý trụ sạc xe điện, rà soát tiêu chuẩn, yêu cầu hệ thống điện và phương án cung cấp điện phù hợp với nhu cầu phát triển.</w:t>
      </w:r>
    </w:p>
    <w:p w14:paraId="18A9D22D"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lastRenderedPageBreak/>
        <w:t xml:space="preserve">- </w:t>
      </w:r>
      <w:r w:rsidRPr="00170D17">
        <w:rPr>
          <w:rFonts w:cs="Times New Roman"/>
          <w:bCs/>
          <w:sz w:val="28"/>
          <w:szCs w:val="28"/>
        </w:rPr>
        <w:t>Các văn bản chỉ đạo của Chính phủ, Phó Thủ tướng Chính phủ và kết quả phối hợp giữa Bộ Khoa học và Công nghệ, Bộ Công Thương cùng các bộ, ngành liên quan về việc tích hợp yêu cầu đối với trụ sạc vào QCVN về trạm sạc xe điện.</w:t>
      </w:r>
    </w:p>
    <w:p w14:paraId="74511AD1"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Luật Tiêu chuẩn và quy chuẩn kỹ thuật số 68/2006/QH11, được sửa đổi, bổ sung bởi Luật số 35/2018/QH14 và Luật số 70/2025/QH15.</w:t>
      </w:r>
    </w:p>
    <w:p w14:paraId="4CF308EB"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Nghị định số 22/2026/NĐ-CP ngày 16/01/2026 của Chính phủ quy định chi tiết một số điều và biện pháp tổ chức, hướng dẫn thi hành Luật Tiêu chuẩn và quy chuẩn kỹ thuật.</w:t>
      </w:r>
    </w:p>
    <w:p w14:paraId="365B41CB" w14:textId="6BCAB54F"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Nghị định số 40/2025/NĐ-CP ngày 26/02/2025 của Chính phủ quy định chức năng, nhiệm vụ, quyền hạn và cơ cấu tổ chức của Bộ Công Thương.</w:t>
      </w:r>
    </w:p>
    <w:p w14:paraId="574F1608" w14:textId="65F7D9BE"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Các căn cứ nêu trên xác lập đầy đủ cơ sở về chủ trương phát triển phương tiện điện, yêu cầu bảo vệ môi trường, chức năng quản lý nhà nước và thẩm quyền ban hành QCVN của Bộ Công Thương.</w:t>
      </w:r>
    </w:p>
    <w:p w14:paraId="5FF78C55" w14:textId="75457782"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lang w:val="en-US"/>
        </w:rPr>
        <w:t xml:space="preserve">7. </w:t>
      </w:r>
      <w:r w:rsidRPr="00170D17">
        <w:rPr>
          <w:rFonts w:cs="Times New Roman"/>
          <w:bCs/>
          <w:sz w:val="28"/>
          <w:szCs w:val="28"/>
        </w:rPr>
        <w:t>Sự cần thiết ban hành</w:t>
      </w:r>
    </w:p>
    <w:p w14:paraId="07268F6D"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Việc ban hành QCVN là cần thiết vì các lý do sau:</w:t>
      </w:r>
    </w:p>
    <w:p w14:paraId="6D58FCF8"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Thứ nhất, thị trường xe điện và hạ tầng sạc đang phát triển nhanh, trong khi quy định kỹ thuật bắt buộc chưa theo kịp về phạm vi và mức độ tích hợp. Nếu không có yêu cầu thống nhất, nguy cơ xuất hiện thiết bị chất lượng không đồng đều, lắp đặt không phù hợp, ảnh hưởng đến người sử dụng, tài sản và hệ thống điện sẽ gia tăng.</w:t>
      </w:r>
    </w:p>
    <w:p w14:paraId="09EDB507"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Thứ hai, an toàn trụ sạc không đồng nhất với an toàn trạm sạc. Một thiết bị đã được thử nghiệm vẫn có thể gây nguy hiểm nếu lắp đặt tại địa điểm ngập nước, không nối đất, thiếu bảo vệ dòng rò, cáp không được bảo vệ cơ học, nền móng không bảo đảm hoặc vận hành không đúng quy trình. QCVN cần quản lý đồng thời hai cấp độ này.</w:t>
      </w:r>
    </w:p>
    <w:p w14:paraId="7F4675A0"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Thứ ba, công suất của trạm sạc nhanh có thể tương đương phụ tải lớn và thay đổi theo thời gian. Việc phát triển thiếu tính toán có thể gây quá tải lưới khu vực, làm giảm chất lượng điện năng hoặc phát sinh chi phí nâng cấp không chủ động. Yêu cầu về tính toán phụ tải, đấu nối, chất lượng điện, quản lý công suất và phối hợp điều độ là cần thiết để bảo đảm an ninh, an toàn hệ thống điện.</w:t>
      </w:r>
    </w:p>
    <w:p w14:paraId="4D1B8225"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Thứ tư, hoạt động sạc công cộng gắn với đo đếm, tính giá, thanh toán và dữ liệu người sử dụng. Cần bảo đảm thiết bị đo được quản lý, thông tin giá và điện năng minh bạch, dữ liệu giao dịch có thể truy xuất, hệ thống điều khiển và thanh toán có biện pháp bảo vệ phù hợp.</w:t>
      </w:r>
    </w:p>
    <w:p w14:paraId="335CAB92"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Thứ năm, việc ban hành QCVN tạo cơ sở pháp lý để cơ quan nhà nước, địa phương, đơn vị điện lực, tổ chức chứng nhận, phòng thử nghiệm, chủ đầu tư và doanh nghiệp áp dụng thống nhất; giảm cách hiểu khác nhau, hạn chế yêu cầu phát sinh không cần thiết và thúc đẩy đầu tư hạ tầng sạc an toàn.</w:t>
      </w:r>
    </w:p>
    <w:p w14:paraId="51C0F3E0" w14:textId="052EC99F"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Thứ sáu, QCVN là công cụ cần thiết để hỗ trợ phát triển ngành công nghiệp xe điện, thiết bị điện và dịch vụ sạc trong nước. Việc sử dụng tiêu chuẩn quốc tế </w:t>
      </w:r>
      <w:r w:rsidRPr="00170D17">
        <w:rPr>
          <w:rFonts w:cs="Times New Roman"/>
          <w:bCs/>
          <w:sz w:val="28"/>
          <w:szCs w:val="28"/>
        </w:rPr>
        <w:lastRenderedPageBreak/>
        <w:t>và TCVN làm nền tảng tạo điều kiện cho doanh nghiệp chủ động thiết kế, thử nghiệm, chứng nhận, nâng cao chất lượng và tham gia chuỗi cung ứng.</w:t>
      </w:r>
    </w:p>
    <w:p w14:paraId="6BC86031" w14:textId="26C0DBE1"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8. </w:t>
      </w:r>
      <w:r w:rsidRPr="00170D17">
        <w:rPr>
          <w:rFonts w:cs="Times New Roman"/>
          <w:bCs/>
          <w:sz w:val="28"/>
          <w:szCs w:val="28"/>
        </w:rPr>
        <w:t>Mục tiêu và nguyên tắc xây dựng</w:t>
      </w:r>
    </w:p>
    <w:p w14:paraId="6F9A7B9D"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Dự thảo QCVN được xây dựng nhằm đạt các mục tiêu:</w:t>
      </w:r>
    </w:p>
    <w:p w14:paraId="273DC13E"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Thiết lập yêu cầu kỹ thuật tối thiểu bắt buộc về an toàn, EMC, truyền thông, ghi nhãn và hướng dẫn sử dụng đối với trụ sạc.</w:t>
      </w:r>
    </w:p>
    <w:p w14:paraId="31E9513E"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Thiết lập yêu cầu đối với bố trí, lắp đặt, cấp điện, bảo vệ, đấu nối, đo đếm, quản lý phụ tải, giám sát và vận hành trạm sạc.</w:t>
      </w:r>
    </w:p>
    <w:p w14:paraId="61FAC635"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Bảo vệ tính mạng, sức khỏe, tài sản của người sử dụng, tổ chức vận hành và cộng đồng; hạn chế nguy cơ điện giật, cháy, nổ, va chạm, ngập nước và sự cố hệ thống.</w:t>
      </w:r>
    </w:p>
    <w:p w14:paraId="18745437"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Bảo đảm khả năng đấu nối, vận hành ổn định, sử dụng năng lượng hiệu quả và hạn chế ảnh hưởng bất lợi đến lưới điện.</w:t>
      </w:r>
    </w:p>
    <w:p w14:paraId="787D99B7"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Bảo đảm minh bạch đo lường, thông tin và giao dịch; hỗ trợ bảo vệ quyền lợi người tiêu dùng.</w:t>
      </w:r>
    </w:p>
    <w:p w14:paraId="6A3FA0C6" w14:textId="7217A36C"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Xác lập cơ chế quản lý phù hợp đối với sản phẩm trụ sạc và hệ thống trạm sạc trong suốt vòng đời.</w:t>
      </w:r>
    </w:p>
    <w:p w14:paraId="55FD6803"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Các nguyên tắc xây dựng gồm:</w:t>
      </w:r>
    </w:p>
    <w:p w14:paraId="2DC16F8E"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Tuân thủ Luật Tiêu chuẩn và quy chuẩn kỹ thuật, pháp luật chuyên ngành và chức năng quản lý của Bộ Công Thương.</w:t>
      </w:r>
    </w:p>
    <w:p w14:paraId="75E667D8"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Dựa trên đánh giá rủi ro, lựa chọn các yêu cầu có liên quan trực tiếp đến an toàn, chất lượng điện, đo lường và quyền lợi người sử dụng.</w:t>
      </w:r>
    </w:p>
    <w:p w14:paraId="5D530EE4"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Sử dụng tối đa TCVN, tiêu chuẩn IEC, ISO và QCVN hiện hành; không xây dựng yêu cầu riêng khi đã có tài liệu phù hợp.</w:t>
      </w:r>
    </w:p>
    <w:p w14:paraId="36C0B3D5"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Bảo đảm yêu cầu có khả năng thử nghiệm, đo kiểm, kiểm tra bằng hồ sơ hoặc xác nhận trong quá trình nghiệm thu và vận hành.</w:t>
      </w:r>
    </w:p>
    <w:p w14:paraId="39050F5B"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Trung lập về công nghệ, không hạn chế bất hợp lý giải pháp kỹ thuật hoặc chuẩn kết nối hợp pháp; khuyến khích sạc thông minh, năng lượng tái tạo và lưu trữ năng lượng nếu không làm giảm mức an toàn.</w:t>
      </w:r>
    </w:p>
    <w:p w14:paraId="448F9D95"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Phân định rõ quản lý chất lượng sản phẩm trụ sạc với quản lý thiết kế, lắp đặt và vận hành trạm sạc.</w:t>
      </w:r>
    </w:p>
    <w:p w14:paraId="3886DC93" w14:textId="21B1C43B"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 xml:space="preserve">- </w:t>
      </w:r>
      <w:r w:rsidRPr="00170D17">
        <w:rPr>
          <w:rFonts w:cs="Times New Roman"/>
          <w:bCs/>
          <w:sz w:val="28"/>
          <w:szCs w:val="28"/>
        </w:rPr>
        <w:t>Có điều khoản chuyển tiếp phù hợp để doanh nghiệp, tổ chức đánh giá sự phù hợp và trạm hiện hữu chuẩn bị nguồn lực thực hiện.</w:t>
      </w:r>
    </w:p>
    <w:p w14:paraId="2B6C51AB" w14:textId="47DA2849"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III. </w:t>
      </w:r>
      <w:r w:rsidR="00170D17" w:rsidRPr="00170D17">
        <w:rPr>
          <w:rFonts w:cs="Times New Roman"/>
          <w:b/>
          <w:sz w:val="28"/>
          <w:szCs w:val="28"/>
        </w:rPr>
        <w:t>CĂN CỨ XÂY DỰNG VÀ GIẢI THÍCH NỘI DUNG QCVN</w:t>
      </w:r>
    </w:p>
    <w:p w14:paraId="7585E6BB" w14:textId="5E7F8C68" w:rsidR="001A0BDB" w:rsidRPr="00170D17" w:rsidRDefault="009D1917" w:rsidP="00170D17">
      <w:pPr>
        <w:spacing w:before="120" w:line="240" w:lineRule="auto"/>
        <w:ind w:firstLine="720"/>
        <w:rPr>
          <w:rFonts w:cs="Times New Roman"/>
          <w:b/>
          <w:sz w:val="28"/>
          <w:szCs w:val="28"/>
        </w:rPr>
      </w:pPr>
      <w:r w:rsidRPr="00170D17">
        <w:rPr>
          <w:rFonts w:cs="Times New Roman"/>
          <w:b/>
          <w:sz w:val="28"/>
          <w:szCs w:val="28"/>
        </w:rPr>
        <w:t xml:space="preserve">1. </w:t>
      </w:r>
      <w:r w:rsidR="00170D17" w:rsidRPr="00170D17">
        <w:rPr>
          <w:rFonts w:cs="Times New Roman"/>
          <w:b/>
          <w:sz w:val="28"/>
          <w:szCs w:val="28"/>
        </w:rPr>
        <w:t>Căn cứ lựa chọn tài liệu tham chiếu</w:t>
      </w:r>
    </w:p>
    <w:p w14:paraId="5E3A67DE" w14:textId="2A428839" w:rsidR="00170D17" w:rsidRPr="00170D17" w:rsidRDefault="00170D17" w:rsidP="00170D17">
      <w:pPr>
        <w:spacing w:before="120" w:line="240" w:lineRule="auto"/>
        <w:ind w:firstLine="720"/>
        <w:rPr>
          <w:rFonts w:cs="Times New Roman"/>
          <w:bCs/>
          <w:i/>
          <w:iCs/>
          <w:sz w:val="28"/>
          <w:szCs w:val="28"/>
        </w:rPr>
      </w:pPr>
      <w:r w:rsidRPr="00170D17">
        <w:rPr>
          <w:rFonts w:cs="Times New Roman"/>
          <w:bCs/>
          <w:i/>
          <w:iCs/>
          <w:sz w:val="28"/>
          <w:szCs w:val="28"/>
        </w:rPr>
        <w:t xml:space="preserve">a) </w:t>
      </w:r>
      <w:r w:rsidRPr="00170D17">
        <w:rPr>
          <w:rFonts w:cs="Times New Roman"/>
          <w:bCs/>
          <w:i/>
          <w:iCs/>
          <w:sz w:val="28"/>
          <w:szCs w:val="28"/>
        </w:rPr>
        <w:t>Nhóm tiêu chuẩn về trụ sạc và hệ thống sạc có dây</w:t>
      </w:r>
    </w:p>
    <w:p w14:paraId="0370CB3E"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lastRenderedPageBreak/>
        <w:t>TCVN 13078-1:2020 (IEC 61851-1:2017) được lựa chọn làm tài liệu tham chiếu chính vì quy định các đặc tính và điều kiện làm việc của thiết bị cấp điện cho xe điện, phương thức kết nối, giao tiếp điều khiển và yêu cầu an toàn cơ bản. Tiêu chuẩn này được sử dụng rộng rãi, có phạm vi phù hợp với điện áp và loại hình sạc thuộc QCVN, đồng thời đã được chấp nhận thành TCVN nên thuận lợi cho áp dụng, thử nghiệm và chứng nhận trong nước.</w:t>
      </w:r>
    </w:p>
    <w:p w14:paraId="1931B13D"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TCVN 13078-21-2:2020 (IEC 61851-21-2:2018) được lựa chọn để quy định phát xạ và miễn nhiễm điện từ đối với thiết bị sạc không lắp trên xe. Yêu cầu EMC giúp hạn chế nhiễu do bộ biến đổi công suất phát ra và bảo đảm trụ sạc duy trì chức năng an toàn trong môi trường điện từ dự kiến.</w:t>
      </w:r>
    </w:p>
    <w:p w14:paraId="22692EFA"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TCVN 13078-23:2020 (IEC 61851-23:2014) được sử dụng cho yêu cầu bổ sung đối với trụ sạc DC do loại thiết bị này thực hiện chuyển đổi công suất, cấp điện một chiều trực tiếp và có giao tiếp điều khiển phức tạp hơn trụ AC. Các TCVN 13078-24 và 13078-25, tiêu chuẩn IEC 62196, IEC 62893 và ISO 15118 là cơ sở kỹ thuật liên quan đến truyền thông số, cấu hình cấp điện DC, đầu nối, cáp và giao tiếp xe – lưới điện.</w:t>
      </w:r>
    </w:p>
    <w:p w14:paraId="2CF19D6E" w14:textId="7100BCC3" w:rsidR="001A0BDB" w:rsidRPr="00170D17" w:rsidRDefault="00170D17" w:rsidP="00170D17">
      <w:pPr>
        <w:spacing w:before="120" w:line="240" w:lineRule="auto"/>
        <w:ind w:firstLine="720"/>
        <w:rPr>
          <w:rFonts w:cs="Times New Roman"/>
          <w:sz w:val="28"/>
          <w:szCs w:val="28"/>
        </w:rPr>
      </w:pPr>
      <w:r w:rsidRPr="00170D17">
        <w:rPr>
          <w:rFonts w:cs="Times New Roman"/>
          <w:sz w:val="28"/>
          <w:szCs w:val="28"/>
        </w:rPr>
        <w:t>TCVN 13510:2022 về thiết bị điều khiển và bảo vệ tích hợp trên cáp chế độ 2 được xem xét để phân định phạm vi. QCVN không áp dụng đối với IC-CPD và tập trung vào trụ sạc cố định; các thiết bị ngoài phạm vi tiếp tục thực hiện theo tiêu chuẩn, quy chuẩn và pháp luật tương ứng.</w:t>
      </w:r>
    </w:p>
    <w:p w14:paraId="445686C4" w14:textId="20F8F5AD" w:rsidR="00170D17" w:rsidRPr="00170D17" w:rsidRDefault="00170D17" w:rsidP="00170D17">
      <w:pPr>
        <w:spacing w:before="120" w:line="240" w:lineRule="auto"/>
        <w:ind w:firstLine="720"/>
        <w:rPr>
          <w:rFonts w:cs="Times New Roman"/>
          <w:bCs/>
          <w:i/>
          <w:iCs/>
          <w:sz w:val="28"/>
          <w:szCs w:val="28"/>
        </w:rPr>
      </w:pPr>
      <w:r w:rsidRPr="00170D17">
        <w:rPr>
          <w:rFonts w:cs="Times New Roman"/>
          <w:bCs/>
          <w:i/>
          <w:iCs/>
          <w:sz w:val="28"/>
          <w:szCs w:val="28"/>
        </w:rPr>
        <w:t xml:space="preserve">b) </w:t>
      </w:r>
      <w:r w:rsidRPr="00170D17">
        <w:rPr>
          <w:rFonts w:cs="Times New Roman"/>
          <w:bCs/>
          <w:i/>
          <w:iCs/>
          <w:sz w:val="28"/>
          <w:szCs w:val="28"/>
        </w:rPr>
        <w:t>Nhóm tiêu chuẩn, quy chuẩn về hệ thống điện</w:t>
      </w:r>
    </w:p>
    <w:p w14:paraId="5CE1BE30"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QCVN 25:2025/BCT và QCVN 26:2025/BCT được sử dụng làm căn cứ đối với an toàn điện, hệ thống truyền tải, phân phối, đấu nối, đo đếm, điều độ, vận hành và xử lý sự cố. QCVN về trụ sạc và trạm sạc chỉ cụ thể hóa các yêu cầu tại điểm giao diện và trong phạm vi trạm, không thay thế quy định chung của hệ thống điện quốc gia.</w:t>
      </w:r>
    </w:p>
    <w:p w14:paraId="408A64BD" w14:textId="1EB92776"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TCVN 7447-7-722:2023 cung cấp yêu cầu cho hệ thống lắp đặt điện hạ áp cấp nguồn cho xe điện; TCVN 13724-7:2023 cung cấp yêu cầu đối với cụm đóng cắt, điều khiển hạ áp dùng cho trạm sạc. IEC 62423 và IEC 62955 là căn cứ lựa chọn giải pháp bảo vệ dòng dư, bao gồm RCD Type B hoặc RCD phù hợp kết hợp thiết bị phát hiện dòng dư một chiều 6 mA. Các tiêu chuẩn về cáp, đóng cắt, nối đất, liên kết đẳng thế, chống sét, SPD và kết cấu tủ điện được áp dụng tương ứng với cấu hình trạm.</w:t>
      </w:r>
    </w:p>
    <w:p w14:paraId="402B9E5A" w14:textId="1F5B02F1" w:rsidR="00170D17" w:rsidRPr="00170D17" w:rsidRDefault="00170D17" w:rsidP="00170D17">
      <w:pPr>
        <w:spacing w:before="120" w:line="240" w:lineRule="auto"/>
        <w:ind w:firstLine="720"/>
        <w:rPr>
          <w:rFonts w:cs="Times New Roman"/>
          <w:i/>
          <w:iCs/>
          <w:sz w:val="28"/>
          <w:szCs w:val="28"/>
        </w:rPr>
      </w:pPr>
      <w:r w:rsidRPr="00170D17">
        <w:rPr>
          <w:rFonts w:cs="Times New Roman"/>
          <w:i/>
          <w:iCs/>
          <w:sz w:val="28"/>
          <w:szCs w:val="28"/>
        </w:rPr>
        <w:t xml:space="preserve">c) </w:t>
      </w:r>
      <w:r w:rsidRPr="00170D17">
        <w:rPr>
          <w:rFonts w:cs="Times New Roman"/>
          <w:i/>
          <w:iCs/>
          <w:sz w:val="28"/>
          <w:szCs w:val="28"/>
        </w:rPr>
        <w:t>Nhóm quy chuẩn, tiêu chuẩn về PCCC, công trình và hạ tầng</w:t>
      </w:r>
    </w:p>
    <w:p w14:paraId="3E924B32"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QCVN 06:2022/BXD, các văn bản sửa đổi, bổ sung, thay thế và TCVN 3890:2023 được sử dụng để xác định nguyên tắc về an toàn cháy và trang bị phương tiện phòng cháy, chữa cháy. Yêu cầu về mặt bằng, lối ra vào, đường nội bộ, nền móng, thoát nước, chiếu sáng và biển báo được xây dựng trên cơ sở các quy chuẩn, tiêu chuẩn hạ tầng có liên quan, đồng thời tính đến đặc thù trạm sạc ngoài trời, nguy cơ va chạm và điều kiện khí hậu Việt Nam.</w:t>
      </w:r>
    </w:p>
    <w:p w14:paraId="54786426" w14:textId="0D89155E"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lastRenderedPageBreak/>
        <w:t>Việc viện dẫn quy định PCCC và công trình bảo đảm QCVN được áp dụng đồng bộ nhưng không làm thay đổi thẩm quyền thẩm duyệt, nghiệm thu và quản lý của cơ quan chuyên ngành. Đối với trạm sạc bố trí trong công trình xây dựng như nhà ở, chung cư, trung tâm thương mại và bãi đỗ xe trong nhà, việc quản lý thực hiện theo pháp luật, quy chuẩn về xây dựng và PCCC, do đó được loại trừ khỏi phạm vi QCVN này.</w:t>
      </w:r>
    </w:p>
    <w:p w14:paraId="5F0567A0" w14:textId="2A9EEE64" w:rsidR="00170D17" w:rsidRPr="00170D17" w:rsidRDefault="00170D17" w:rsidP="00170D17">
      <w:pPr>
        <w:spacing w:before="120" w:line="240" w:lineRule="auto"/>
        <w:ind w:firstLine="720"/>
        <w:rPr>
          <w:rFonts w:cs="Times New Roman"/>
          <w:i/>
          <w:iCs/>
          <w:sz w:val="28"/>
          <w:szCs w:val="28"/>
        </w:rPr>
      </w:pPr>
      <w:r w:rsidRPr="00170D17">
        <w:rPr>
          <w:rFonts w:cs="Times New Roman"/>
          <w:i/>
          <w:iCs/>
          <w:sz w:val="28"/>
          <w:szCs w:val="28"/>
        </w:rPr>
        <w:t xml:space="preserve">d) </w:t>
      </w:r>
      <w:r w:rsidRPr="00170D17">
        <w:rPr>
          <w:rFonts w:cs="Times New Roman"/>
          <w:i/>
          <w:iCs/>
          <w:sz w:val="28"/>
          <w:szCs w:val="28"/>
        </w:rPr>
        <w:t>Nhóm tài liệu về đánh giá sự phù hợp, đo lường và dữ liệu</w:t>
      </w:r>
    </w:p>
    <w:p w14:paraId="75A037C7"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ISO/IEC 17025 và ISO/IEC 17065 được sử dụng làm căn cứ năng lực của tổ chức thử nghiệm và tổ chức chứng nhận. Thông tư số 14/2026/TT-BKHCN ngày 09/4/2026 là căn cứ lựa chọn phương thức đánh giá sự phù hợp. Thông tư số 27/2007/TT-BKHCN ngày 31/10/2007 là căn cứ cho việc ký kết, thực hiện thỏa thuận thừa nhận lẫn nhau. Thông tư số 03/2024/TT-BKHCN và pháp luật về đo lường là căn cứ quản lý thiết bị đo điện năng sạc pin xe điện.</w:t>
      </w:r>
    </w:p>
    <w:p w14:paraId="0160144F" w14:textId="7DC25B0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Đối với chức năng quản lý tài khoản, thanh toán, lưu trữ giao dịch và kết nối mạng, QCVN dẫn chiếu pháp luật về bảo vệ quyền lợi người tiêu dùng, an toàn thông tin mạng, bảo vệ dữ liệu cá nhân, giao dịch điện tử và thanh toán không dùng tiền mặt. Phương án dẫn chiếu giúp yêu cầu được cập nhật theo pháp luật chuyên ngành và tránh hình thành một hệ thống quy định dữ liệu riêng trong QCVN kỹ thuật điện.</w:t>
      </w:r>
    </w:p>
    <w:p w14:paraId="242B0498" w14:textId="64D1366D"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t xml:space="preserve">2. </w:t>
      </w:r>
      <w:r w:rsidRPr="00170D17">
        <w:rPr>
          <w:rFonts w:cs="Times New Roman"/>
          <w:b/>
          <w:sz w:val="28"/>
          <w:szCs w:val="28"/>
        </w:rPr>
        <w:t>Phương án lựa chọn yêu cầu</w:t>
      </w:r>
    </w:p>
    <w:p w14:paraId="01F5F3B0"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Các yêu cầu được lựa chọn theo nguyên tắc quản lý rủi ro và mức độ cần thiết. Yêu cầu liên quan trực tiếp đến điện giật, cháy, nổ, quá nhiệt, ngập nước, va chạm, chất lượng điện năng, đo lường và khả năng ngắt sự cố được xác định là yêu cầu bắt buộc. Yêu cầu về công nghệ mới, tối ưu vận hành, năng lượng tái tạo, lưu trữ và lưới điện thông minh được quy định theo hướng khuyến khích hoặc bắt buộc có điều kiện, phù hợp với quy mô và cấu hình trạm.</w:t>
      </w:r>
    </w:p>
    <w:p w14:paraId="0509B8E8" w14:textId="2F8C92BA"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Phương án xây dựng ưu tiên viện dẫn TCVN và QCVN. Trường hợp chưa có TCVN phù hợp, tiêu chuẩn IEC, ISO hoặc yêu cầu được tổng hợp từ pháp luật chuyên ngành được sử dụng làm căn cứ. Yêu cầu tự xây dựng tập trung vào phạm vi, đối tượng, hồ sơ, trách nhiệm, thông tin công khai và tổ chức thực hiện. Các chỉ tiêu định lượng về kích thước, cấp bảo vệ, hệ số công suất và thiết bị bảo vệ được xác định để có thể kiểm tra bằng đo đạc, tài liệu kỹ thuật, thử nghiệm hoặc hồ sơ nghiệm thu.</w:t>
      </w:r>
    </w:p>
    <w:p w14:paraId="3EE5C3B6" w14:textId="54011696" w:rsidR="00170D17" w:rsidRPr="00170D17" w:rsidRDefault="00170D17" w:rsidP="00170D17">
      <w:pPr>
        <w:spacing w:before="120" w:line="240" w:lineRule="auto"/>
        <w:ind w:firstLine="720"/>
        <w:rPr>
          <w:rFonts w:cs="Times New Roman"/>
          <w:sz w:val="28"/>
          <w:szCs w:val="28"/>
        </w:rPr>
      </w:pPr>
      <w:r w:rsidRPr="00170D17">
        <w:rPr>
          <w:rFonts w:cs="Times New Roman"/>
          <w:b/>
          <w:sz w:val="28"/>
          <w:szCs w:val="28"/>
        </w:rPr>
        <w:t>3</w:t>
      </w:r>
      <w:r w:rsidRPr="00170D17">
        <w:rPr>
          <w:rFonts w:cs="Times New Roman"/>
          <w:b/>
          <w:sz w:val="28"/>
          <w:szCs w:val="28"/>
        </w:rPr>
        <w:t>. Giải thích Chương 1 – Quy định chung</w:t>
      </w:r>
    </w:p>
    <w:p w14:paraId="570A4AAF"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Phạm vi QCVN bao gồm thiết bị sạc; hệ thống cấp và phân phối điện; đấu nối; bố trí, lắp đặt; an toàn điện; điều khiển; quản lý vận hành và khai thác. Đối với trạm sạc, phạm vi địa điểm tập trung vào khu vực công cộng, nơi trông giữ xe tập trung, trạm dừng nghỉ và khu vực tương tự. Việc giới hạn này phù hợp với phân công quản lý và tính chất tiếp cận công cộng, đồng thời tránh chồng chéo với QCVN áp dụng cho công trình xây dựng.</w:t>
      </w:r>
    </w:p>
    <w:p w14:paraId="40DFF93C"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lastRenderedPageBreak/>
        <w:t>QCVN loại trừ thiết bị sạc không dây, IC-CPD chế độ 2, thiết bị sạc trên xe, thiết bị cấp điện cho hệ thống lưu trữ không lắp trên xe, thiết bị dành riêng cho phương tiện ngoài phạm vi giao thông đường bộ, trạm thử nghiệm chưa khai thác và lưới điện phía trước điểm đấu nối chung. Hạ tầng lưới phía trước PCC tiếp tục được quản lý theo pháp luật điện lực.</w:t>
      </w:r>
    </w:p>
    <w:p w14:paraId="6B694E95"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Đối tượng áp dụng bao quát các chủ thể trong toàn bộ chuỗi: nhà sản xuất, lắp ráp, nhập khẩu, phân phối; chủ đầu tư; đơn vị thiết kế, thi công, lắp đặt; đơn vị vận hành; đơn vị cung cấp điện và điều độ; tổ chức thử nghiệm, chứng nhận, kiểm định, đo lường; cơ quan quản lý và các tổ chức, cá nhân liên quan.</w:t>
      </w:r>
    </w:p>
    <w:p w14:paraId="41F89786"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Các nguyên tắc áp dụng xác định QCVN là mức tối thiểu bắt buộc; đồng thời phải thực hiện quy chuẩn chuyên ngành về điện lực, xây dựng, PCCC, đo lường, dữ liệu và môi trường. QCVN không hạn chế bất hợp lý khả năng tương thích với phương tiện hợp pháp và khuyến khích quản lý phụ tải, sạc thông minh, năng lượng tái tạo, hệ thống lưu trữ nếu không làm giảm mức an toàn.</w:t>
      </w:r>
    </w:p>
    <w:p w14:paraId="78D9D102"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Hai mươi thuật ngữ được giải thích để thống nhất cách hiểu, gồm xe điện, PHEV, RESS, trụ AC, trụ DC, trạm sạc, ô sạc, hệ thống phân phối, PCC, ngắt khẩn cấp, giám sát, quản lý phụ tải, dòng rò, RCD, RDC-DD, cụm cáp, đầu nối, BESS và đơn vị vận hành. Việc chuẩn hóa thuật ngữ là cơ sở cho thiết kế, thống kê, kiểm tra và phân định trách nhiệm.</w:t>
      </w:r>
    </w:p>
    <w:p w14:paraId="5734380E" w14:textId="539050FA"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t>4. Giải thích Chương 2 – Quy định kỹ thuật đối với trụ sạc</w:t>
      </w:r>
    </w:p>
    <w:p w14:paraId="09575485"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Yêu cầu chung xác định trụ sạc phải có kết cấu cho phép kết nối và truyền năng lượng an toàn, tin cậy trong điều kiện sử dụng bình thường, giảm thiểu nguy hiểm cho người sử dụng và môi trường xung quanh.</w:t>
      </w:r>
    </w:p>
    <w:p w14:paraId="76522736"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Yêu cầu an toàn viện dẫn các Điều 8 đến 13 TCVN 13078-1:2020, bao gồm bảo vệ chống điện giật; giao diện điện dẫn; bộ tiếp hợp; cụm cáp; kết cấu và thử nghiệm; bảo vệ quá tải và ngắn mạch. Cách viện dẫn này bảo đảm yêu cầu QCVN tương thích với tiêu chuẩn quốc tế, có sẵn phương pháp thử và tiêu chí đánh giá.</w:t>
      </w:r>
    </w:p>
    <w:p w14:paraId="48B74BF6"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Yêu cầu EMC gồm phát xạ theo Điều 6 và miễn nhiễm theo Điều 5 TCVN 13078-21-2:2020. Trụ có tính năng thu phát sóng đồng thời phải thực hiện quy chuẩn về tần số vô tuyến điện. Yêu cầu truyền thông theo Điều 7 TCVN 13078-1 bảo đảm các tín hiệu điều khiển cần thiết cho quá trình sạc an toàn.</w:t>
      </w:r>
    </w:p>
    <w:p w14:paraId="3AE9F442"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Trụ DC phải đáp ứng yêu cầu bổ sung của TCVN 13078-23:2020 do có bộ biến đổi công suất, điện áp và dòng điện một chiều lớn, cần cơ chế điều khiển và bảo vệ riêng. Việc đo điện năng tích hợp trong trụ dùng cho thanh toán phải thực hiện quy định pháp luật về đo lường.</w:t>
      </w:r>
    </w:p>
    <w:p w14:paraId="3C4C644A"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Nhãn của trụ phải rõ ràng, bền và có tối thiểu thông tin về nhà sản xuất, kiểu loại, điện áp và dòng điện vào, điện áp và dòng điện ra, công suất ra, cấp IP, nhiệt độ làm việc và năm sản xuất. Giao diện người dùng và tài liệu hướng dẫn phải có tiếng Việt; nhà sản xuất, lắp ráp, nhập khẩu phải cung cấp hướng dẫn lắp đặt và sử dụng theo TCVN 13078-1. Các yêu cầu này hỗ trợ lựa chọn đúng thiết bị, lắp đặt phù hợp, sử dụng an toàn và truy xuất khi xảy ra sự cố.</w:t>
      </w:r>
    </w:p>
    <w:p w14:paraId="59B03C54" w14:textId="14115104"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lastRenderedPageBreak/>
        <w:t>5. Giải thích Chương 3 – Quy định kỹ thuật đối với trạm sạc</w:t>
      </w:r>
    </w:p>
    <w:p w14:paraId="59074D5D" w14:textId="54D7C847" w:rsidR="00170D17" w:rsidRPr="00170D17" w:rsidRDefault="00170D17" w:rsidP="00170D17">
      <w:pPr>
        <w:spacing w:before="120" w:line="240" w:lineRule="auto"/>
        <w:ind w:firstLine="720"/>
        <w:rPr>
          <w:rFonts w:cs="Times New Roman"/>
          <w:i/>
          <w:iCs/>
          <w:sz w:val="28"/>
          <w:szCs w:val="28"/>
        </w:rPr>
      </w:pPr>
      <w:r w:rsidRPr="00170D17">
        <w:rPr>
          <w:rFonts w:cs="Times New Roman"/>
          <w:i/>
          <w:iCs/>
          <w:sz w:val="28"/>
          <w:szCs w:val="28"/>
          <w:lang w:val="en-US"/>
        </w:rPr>
        <w:t>a)</w:t>
      </w:r>
      <w:r w:rsidRPr="00170D17">
        <w:rPr>
          <w:rFonts w:cs="Times New Roman"/>
          <w:i/>
          <w:iCs/>
          <w:sz w:val="28"/>
          <w:szCs w:val="28"/>
        </w:rPr>
        <w:t xml:space="preserve"> Yêu cầu chung và bố trí</w:t>
      </w:r>
    </w:p>
    <w:p w14:paraId="082FC361"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Trạm sạc phải bảo đảm an toàn trong toàn bộ quá trình thiết kế, thi công, nghiệm thu, vận hành, bảo trì, cải tạo và chấm dứt khai thác. Thiết kế phải đồng bộ hệ thống điện, trụ sạc, bảo vệ, nối đất, chống sét, điều khiển, giám sát, PCCC, chiếu sáng, biển báo và giao thông. Thiết bị phải phù hợp điều kiện nhiệt độ, độ ẩm, mưa nắng, bụi, ăn mòn, rung và nguy cơ va chạm.</w:t>
      </w:r>
    </w:p>
    <w:p w14:paraId="2B670481"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Vị trí trạm phải phù hợp công năng khu vực, tổ chức giao thông và không cản trở lối ra vào, lối thoát nạn hoặc tuyến chữa cháy. Chiều rộng đường nội bộ tối thiểu là 3,5 m đối với một làn và 6 m đối với hai làn. Ô sạc ô tô điển hình có kích thước không nhỏ hơn 2,5 m x 5,0 m; trường hợp cải tạo trên nền hiện trạng, bề rộng không nhỏ hơn 2,3 m. Đối với xe buýt, xe tải, xe đầu kéo và bố trí đặc thù, kích thước được xác định theo phương tiện, bán kính quay, chiều dài cáp và phương án vận hành.</w:t>
      </w:r>
    </w:p>
    <w:p w14:paraId="2A249F68"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Khi ô sạc sát tường hoặc vật cản, khoảng cách từ mép vạch đến vật cản không nhỏ hơn 0,5 m, trừ giải pháp tương đương. Trụ có thể đặt cạnh ô đỗ, giữa hai ô, trên vỉa hè hoặc treo tường nếu bảo đảm lối đi, chiều dài cáp và không tạo nguy cơ vấp ngã. Bề mặt khu vực sạc phải ổn định, chịu tải; trạm ngoài trời có giải pháp thoát nước và độ dốc không nhỏ hơn 0,2%. Biển chỉ dẫn, cảnh báo, vạch sơn, thông tin hỗ trợ và thiết bị phụ trợ phải dễ quan sát, không cản trở thao tác.</w:t>
      </w:r>
    </w:p>
    <w:p w14:paraId="5A042AC0" w14:textId="77777777"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rPr>
        <w:t>Đối với trạm trong khuôn viên cửa hàng xăng dầu, trạm tiếp nhiên liệu, trạm dừng nghỉ hoặc khu vực có nguy cơ cháy, nổ, yêu cầu của QCVN được áp dụng đồng thời với quy định chuyên ngành về khoảng cách an toàn, phân khu và PCCC.</w:t>
      </w:r>
    </w:p>
    <w:p w14:paraId="6CE8FD03" w14:textId="1E7C7322" w:rsidR="00170D17" w:rsidRPr="00170D17" w:rsidRDefault="00170D17" w:rsidP="00170D17">
      <w:pPr>
        <w:spacing w:before="120" w:line="240" w:lineRule="auto"/>
        <w:ind w:firstLine="720"/>
        <w:rPr>
          <w:rFonts w:cs="Times New Roman"/>
          <w:i/>
          <w:iCs/>
          <w:sz w:val="28"/>
          <w:szCs w:val="28"/>
          <w:lang w:val="en-US"/>
        </w:rPr>
      </w:pPr>
      <w:r w:rsidRPr="00170D17">
        <w:rPr>
          <w:rFonts w:cs="Times New Roman"/>
          <w:i/>
          <w:iCs/>
          <w:sz w:val="28"/>
          <w:szCs w:val="28"/>
          <w:lang w:val="en-US"/>
        </w:rPr>
        <w:t>b)</w:t>
      </w:r>
      <w:r w:rsidRPr="00170D17">
        <w:rPr>
          <w:rFonts w:cs="Times New Roman"/>
          <w:i/>
          <w:iCs/>
          <w:sz w:val="28"/>
          <w:szCs w:val="28"/>
          <w:lang w:val="en-US"/>
        </w:rPr>
        <w:t xml:space="preserve"> Trụ sạc lắp trong trạm và an toàn trạm</w:t>
      </w:r>
    </w:p>
    <w:p w14:paraId="413F4032"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Trụ sạc phải phù hợp thiết kế tổng thể, được lắp đặt theo hướng dẫn của nhà sản xuất và có bảo vệ quá dòng, quá áp, thấp áp, ngắn mạch, dòng rò, tự động ngắt khi sự cố. Vị trí lắp đặt phải thuận tiện sử dụng, bảo trì, không cản trở giao thông và lối thoát. Trụ ngoài trời phải có cấp bảo vệ phù hợp; cáp, đầu nối và giá treo được bố trí hạn chế hư hỏng cơ học. Móng, bản mã, bu lông neo và chi tiết liên kết phải phù hợp thiết bị và chống ăn mòn. Cấu hình tủ nguồn – trụ phân phối hoặc trụ treo tường phải được thiết kế đồng bộ về chịu lực, tuyến cáp, bảo vệ và khoảng thao tác.</w:t>
      </w:r>
    </w:p>
    <w:p w14:paraId="328E8B6B"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Trạm phải có phương thức ngắt điện khẩn cấp ở vị trí dễ tiếp cận, có ký hiệu rõ và được bảo vệ chống thao tác ngoài ý muốn. Sau khi ngắt khẩn cấp, chỉ được đóng điện trở lại khi đã xác định, khắc phục nguyên nhân và được người có trách nhiệm cho phép. Chức năng này phải được thử trước vận hành và kiểm tra định kỳ.</w:t>
      </w:r>
    </w:p>
    <w:p w14:paraId="218745C4"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 xml:space="preserve">Hệ thống nối đất, liên kết đẳng thế, vỏ và kết cấu kim loại phải được kiểm tra trong lắp đặt và nghiệm thu trước đóng điện. Phương tiện chữa cháy, nội quy, tiêu lệnh và biển cảnh báo được bố trí theo QCVN 06, TCVN 3890 và quy định </w:t>
      </w:r>
      <w:r w:rsidRPr="00170D17">
        <w:rPr>
          <w:rFonts w:cs="Times New Roman"/>
          <w:sz w:val="28"/>
          <w:szCs w:val="28"/>
          <w:lang w:val="en-US"/>
        </w:rPr>
        <w:lastRenderedPageBreak/>
        <w:t>PCCC. Trước vận hành phải kiểm tra tính liên tục nối đất, điện trở nối đất, bảo vệ quá dòng, ngắn mạch, dòng rò, ngắt khẩn cấp, móng, liên kết, chiếu sáng, camera và điện nhẹ nếu có. Khi phát hiện ngập, hỏng cách điện, vỏ nứt, cáp hở, đầu nối quá nhiệt hoặc bảo vệ mất tác dụng, phần thiết bị liên quan phải dừng khai thác đến khi khắc phục.</w:t>
      </w:r>
    </w:p>
    <w:p w14:paraId="5D8C2507" w14:textId="4D51740A" w:rsidR="00170D17" w:rsidRPr="00170D17" w:rsidRDefault="00170D17" w:rsidP="00170D17">
      <w:pPr>
        <w:spacing w:before="120" w:line="240" w:lineRule="auto"/>
        <w:ind w:firstLine="720"/>
        <w:rPr>
          <w:rFonts w:cs="Times New Roman"/>
          <w:i/>
          <w:iCs/>
          <w:sz w:val="28"/>
          <w:szCs w:val="28"/>
          <w:lang w:val="en-US"/>
        </w:rPr>
      </w:pPr>
      <w:r w:rsidRPr="00170D17">
        <w:rPr>
          <w:rFonts w:cs="Times New Roman"/>
          <w:i/>
          <w:iCs/>
          <w:sz w:val="28"/>
          <w:szCs w:val="28"/>
          <w:lang w:val="en-US"/>
        </w:rPr>
        <w:t>c)</w:t>
      </w:r>
      <w:r w:rsidRPr="00170D17">
        <w:rPr>
          <w:rFonts w:cs="Times New Roman"/>
          <w:i/>
          <w:iCs/>
          <w:sz w:val="28"/>
          <w:szCs w:val="28"/>
          <w:lang w:val="en-US"/>
        </w:rPr>
        <w:t xml:space="preserve"> Cấp điện, đấu nối, chất lượng điện và đo đếm</w:t>
      </w:r>
    </w:p>
    <w:p w14:paraId="6475598E"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Hệ thống cung cấp điện được thiết kế theo tổng công suất danh định, hệ số đồng thời, đặc tính phụ tải và khả năng mở rộng. Tủ điện ngoài trời có cấp bảo vệ tối thiểu IP54; tủ trong nhà hoặc có mái che tối thiểu IP31. Cáp phải được bảo vệ cơ học, chống thấm và phù hợp tải trọng phương tiện.</w:t>
      </w:r>
    </w:p>
    <w:p w14:paraId="04F97887"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Cấp điện áp đấu nối được xác định theo tổng công suất và khả năng lưới. Trạm nhỏ có thể đấu nối hạ áp khi không gây quá tải hoặc mất cân bằng nghiêm trọng. Trạm tập trung, sạc nhanh công suất lớn có thể đấu nối trung áp và sử dụng trạm biến áp riêng. Thiết bị đóng cắt tại PCC phải cô lập được trạm; việc đóng điện thực hiện sau thỏa thuận đấu nối và nghiệm thu theo quy định điện lực.</w:t>
      </w:r>
    </w:p>
    <w:p w14:paraId="719181A5"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Tại PCC, sóng hài, hệ số công suất, nhấp nháy và mất cân bằng phải đáp ứng QCVN 26. Hệ số công suất đạt tối thiểu 0,9; trường hợp không đạt phải có giải pháp bù phù hợp. Mạch cấp cho trụ sử dụng RCD Type B hoặc RCD phù hợp khi trụ tích hợp phát hiện dòng dư DC 6 mA. Bảo vệ quá dòng, ngắn mạch phải có tính chọn lọc; SPD Type 1 và Type 2 được bố trí để hạn chế xung quá điện áp. Trạm có trạm biến áp riêng từ 160 kVA trở lên phải có công nghệ quản lý phụ tải và điều chỉnh công suất tự động.</w:t>
      </w:r>
    </w:p>
    <w:p w14:paraId="76279664"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Hệ thống đo giao nhận điện phải đáp ứng quy định điện lực và đo lường. Trụ tính tiền trực tiếp phải hiển thị điện năng, đơn giá, phí dịch vụ, thời gian và tổng tiền; dữ liệu được lưu trữ và truy xuất. Quản lý phụ tải chủ động giúp giới hạn công suất tại nguồn và phân bổ công suất giữa các trụ. Trạm thuộc phạm vi điều độ phải có hạ tầng kết nối, thực hiện yêu cầu giảm tải, tách tải hoặc khôi phục theo lệnh của cấp có thẩm quyền.</w:t>
      </w:r>
    </w:p>
    <w:p w14:paraId="67C1797B" w14:textId="704A3E57" w:rsidR="00170D17" w:rsidRPr="00170D17" w:rsidRDefault="00170D17" w:rsidP="00170D17">
      <w:pPr>
        <w:spacing w:before="120" w:line="240" w:lineRule="auto"/>
        <w:ind w:firstLine="720"/>
        <w:rPr>
          <w:rFonts w:cs="Times New Roman"/>
          <w:i/>
          <w:iCs/>
          <w:sz w:val="28"/>
          <w:szCs w:val="28"/>
          <w:lang w:val="en-US"/>
        </w:rPr>
      </w:pPr>
      <w:r w:rsidRPr="00170D17">
        <w:rPr>
          <w:rFonts w:cs="Times New Roman"/>
          <w:i/>
          <w:iCs/>
          <w:sz w:val="28"/>
          <w:szCs w:val="28"/>
          <w:lang w:val="en-US"/>
        </w:rPr>
        <w:t>d)</w:t>
      </w:r>
      <w:r w:rsidRPr="00170D17">
        <w:rPr>
          <w:rFonts w:cs="Times New Roman"/>
          <w:i/>
          <w:iCs/>
          <w:sz w:val="28"/>
          <w:szCs w:val="28"/>
          <w:lang w:val="en-US"/>
        </w:rPr>
        <w:t xml:space="preserve"> Giám sát, điều khiển, dữ liệu và tích hợp nguồn</w:t>
      </w:r>
    </w:p>
    <w:p w14:paraId="045E46F8"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Trạm công cộng có yêu cầu vận hành tập trung phải có hệ thống giám sát để thu thập trạng thái, cảnh báo, dữ liệu đo, điều khiển và lưu trữ. Hệ thống được tổ chức theo lớp điều khiển trạm, lớp thiết bị và mạng truyền thông; cấu hình được lựa chọn theo quy mô. Giám sát sạc thu thập trạng thái, nhiệt độ, lỗi, điện áp, dòng điện, công suất và điện năng; giám sát cấp điện thu thập trạng thái đóng cắt, bảo vệ, công suất và hệ số công suất.</w:t>
      </w:r>
    </w:p>
    <w:p w14:paraId="2FD53F0F"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Mạng nội bộ có thể sử dụng Ethernet, CAN hoặc RS-485 và phải có khả năng kết nối hệ thống quản lý cấp trên khi cần. Hệ thống đo lường, giám sát, thanh toán phải đồng bộ thời gian; dữ liệu được sao lưu, bảo vệ chống sửa đổi; tài khoản và thao tác được phân quyền, ghi nhật ký. Cập nhật phần mềm và thay đổi cấu hình phải được kiểm soát và truy xuất.</w:t>
      </w:r>
    </w:p>
    <w:p w14:paraId="22E0E74F"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lastRenderedPageBreak/>
        <w:t>Trạm tích hợp điện mặt trời, BESS hoặc nguồn phân tán phải phối hợp bảo vệ, đo lường, chống phát ngược không kiểm soát, liên động an toàn và tuân thủ quy định đấu nối. Trạm phải công khai trạng thái sẵn sàng/sạc/lỗi, điện năng, thời gian, giá, cảnh báo và thông tin hỗ trợ, bảo đảm thống nhất với dữ liệu giao dịch.</w:t>
      </w:r>
    </w:p>
    <w:p w14:paraId="291698C5" w14:textId="7D9BA16A"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t>6. Giải thích Chương 4 – Quy định về quản lý</w:t>
      </w:r>
    </w:p>
    <w:p w14:paraId="62EF7397"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Đối với trụ sạc, dự thảo áp dụng cơ chế quản lý sản phẩm, hàng hóa. Trụ sản xuất trong nước phải công bố hợp quy và gắn dấu hợp quy trước lưu thông. Trụ nhập khẩu phải kiểm tra nhà nước về chất lượng thông qua xem xét hoạt động công bố hợp quy và gắn dấu trước lưu thông. Công bố hợp quy dựa trên kết quả của tổ chức chứng nhận được chỉ định. Trụ có thu phát sóng đã chứng nhận theo QCVN tần số không phải lặp lại nội dung EMC thuộc phạm vi đã đánh giá.</w:t>
      </w:r>
    </w:p>
    <w:p w14:paraId="17324046"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Phương thức 1 phù hợp đánh giá mẫu điển hình; phương thức 5 kết hợp đánh giá quá trình sản xuất với thử nghiệm mẫu, phù hợp sản phẩm sản xuất ổn định; phương thức 7 áp dụng theo lô. Việc lựa chọn thực hiện theo Thông tư 14/2026/TT-BKHCN, tính chất sản phẩm và phương thức cung ứng.</w:t>
      </w:r>
    </w:p>
    <w:p w14:paraId="7DD87DCA"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Kết quả thử nghiệm, chứng nhận nước ngoài có thể được xem xét khi tổ chức thực hiện được công nhận theo ISO/IEC 17025 hoặc ISO/IEC 17065 bởi tổ chức công nhận có năng lực và thuộc cơ chế hợp tác công nhận quốc tế phù hợp. Tổ chức chứng nhận trong nước chịu trách nhiệm về việc sử dụng, thừa nhận kết quả.</w:t>
      </w:r>
    </w:p>
    <w:p w14:paraId="755EAFB5"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Đối với trạm sạc, cơ chế quản lý dựa trên hồ sơ thiết kế, lắp đặt, nghiệm thu và điều kiện vận hành, không đặt ra thủ tục chứng nhận hợp quy cho toàn bộ trạm. Hồ sơ thiết kế phải có mặt bằng, giao thông, sơ đồ điện, tính phụ tải, bảo vệ, nối đất, chống sét, nền móng, thoát nước, PCCC, chiếu sáng và tài liệu thiết bị. Hồ sơ nghiệm thu gồm bản vẽ hoàn công, biên bản vật liệu, thử nghiệm, đấu nối, đo lường, PCCC, hướng dẫn, nhật ký và bàn giao.</w:t>
      </w:r>
    </w:p>
    <w:p w14:paraId="4C87A060"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Trạm chỉ vận hành sau khi hoàn thành nghiệm thu, đo kiểm và điều kiện chuyên ngành. Đơn vị vận hành phải duy trì quy trình vận hành, xử lý sự cố, ngắt khẩn cấp, hỗ trợ người dùng và bảo trì; lưu kết quả kiểm tra, sửa chữa, phần mềm, sự cố và khiếu nại. Dữ liệu định danh, vị trí, công suất, đầu nối, thời gian hoạt động và hỗ trợ được công khai; sự cố nghiêm trọng phải được cô lập, thông báo và phối hợp xử lý.</w:t>
      </w:r>
    </w:p>
    <w:p w14:paraId="0A2052D4" w14:textId="046113A5"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t>7. Giải thích Chương 5 – Trách nhiệm của tổ chức, cá nhân</w:t>
      </w:r>
    </w:p>
    <w:p w14:paraId="15163B3A"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Nhà sản xuất, lắp ráp, nhập khẩu và phân phối chịu trách nhiệm công bố tiêu chuẩn, chứng nhận, công bố hợp quy, ghi nhãn, cung cấp tài liệu tiếng Việt, duy trì sản phẩm phù hợp hồ sơ và phối hợp thu hồi, khắc phục sản phẩm không phù hợp.</w:t>
      </w:r>
    </w:p>
    <w:p w14:paraId="10EAD9FE"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 xml:space="preserve">Chủ đầu tư, chủ sở hữu hoặc đơn vị quản lý chịu trách nhiệm về địa điểm, thiết kế, lựa chọn thiết bị và nhà thầu, nghiệm thu, điều kiện điện lực, PCCC, đo lường, dữ liệu và nguồn lực vận hành. Đơn vị thiết kế, thi công, lắp đặt chịu trách </w:t>
      </w:r>
      <w:r w:rsidRPr="00170D17">
        <w:rPr>
          <w:rFonts w:cs="Times New Roman"/>
          <w:sz w:val="28"/>
          <w:szCs w:val="28"/>
          <w:lang w:val="en-US"/>
        </w:rPr>
        <w:lastRenderedPageBreak/>
        <w:t>nhiệm giải pháp kỹ thuật, vật liệu, kiểm soát chất lượng, thử nghiệm và hồ sơ hoàn công.</w:t>
      </w:r>
    </w:p>
    <w:p w14:paraId="1CB9A869"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Đơn vị vận hành duy trì quy trình, hệ thống an toàn, hỗ trợ người dùng, dừng khai thác khi có nguy cơ, lưu hồ sơ và đào tạo nhân sự. Đơn vị cung cấp điện, quản lý lưới và điều độ hướng dẫn đấu nối, đo đếm, đánh giá ảnh hưởng, yêu cầu quản lý phụ tải và xử lý sự cố theo thẩm quyền.</w:t>
      </w:r>
    </w:p>
    <w:p w14:paraId="197E9465"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Tổ chức đánh giá sự phù hợp, thử nghiệm, kiểm định, đo lường chịu trách nhiệm về năng lực, tính độc lập, kết quả và lưu hồ sơ. Cơ quan quản lý thực hiện hướng dẫn, thanh tra, kiểm tra, xử lý vi phạm và tổng hợp vướng mắc để hoàn thiện Quy chuẩn.</w:t>
      </w:r>
    </w:p>
    <w:p w14:paraId="280FAEC6" w14:textId="05746D65" w:rsidR="00170D17" w:rsidRPr="00170D17" w:rsidRDefault="00170D17" w:rsidP="00170D17">
      <w:pPr>
        <w:spacing w:before="120" w:line="240" w:lineRule="auto"/>
        <w:ind w:firstLine="720"/>
        <w:rPr>
          <w:rFonts w:cs="Times New Roman"/>
          <w:b/>
          <w:sz w:val="28"/>
          <w:szCs w:val="28"/>
        </w:rPr>
      </w:pPr>
      <w:r w:rsidRPr="00170D17">
        <w:rPr>
          <w:rFonts w:cs="Times New Roman"/>
          <w:b/>
          <w:sz w:val="28"/>
          <w:szCs w:val="28"/>
        </w:rPr>
        <w:t>8. Giải thích Chương 6 – Tổ chức thực hiện</w:t>
      </w:r>
    </w:p>
    <w:p w14:paraId="7CB0B1BA" w14:textId="77777777" w:rsidR="00170D17" w:rsidRPr="00170D17" w:rsidRDefault="00170D17" w:rsidP="00170D17">
      <w:pPr>
        <w:spacing w:before="120" w:line="240" w:lineRule="auto"/>
        <w:ind w:firstLine="720"/>
        <w:rPr>
          <w:rFonts w:cs="Times New Roman"/>
          <w:sz w:val="28"/>
          <w:szCs w:val="28"/>
          <w:lang w:val="en-US"/>
        </w:rPr>
      </w:pPr>
      <w:r w:rsidRPr="00170D17">
        <w:rPr>
          <w:rFonts w:cs="Times New Roman"/>
          <w:sz w:val="28"/>
          <w:szCs w:val="28"/>
          <w:lang w:val="en-US"/>
        </w:rPr>
        <w:t>Cục Công nghiệp là cơ quan chủ trì hướng dẫn và tổng hợp tình hình thực hiện. Cơ quan chuyên ngành về điện lực, an toàn kỹ thuật và môi trường công nghiệp, PCCC, xây dựng, đo lường, an toàn thông tin, bảo vệ người tiêu dùng và chính quyền địa phương phối hợp theo chức năng.</w:t>
      </w:r>
    </w:p>
    <w:p w14:paraId="6AF026E0" w14:textId="219F1792" w:rsidR="00170D17" w:rsidRPr="00170D17" w:rsidRDefault="00170D17" w:rsidP="00170D17">
      <w:pPr>
        <w:spacing w:before="120" w:line="240" w:lineRule="auto"/>
        <w:ind w:firstLine="720"/>
        <w:rPr>
          <w:rFonts w:cs="Times New Roman"/>
          <w:sz w:val="28"/>
          <w:szCs w:val="28"/>
        </w:rPr>
      </w:pPr>
      <w:r w:rsidRPr="00170D17">
        <w:rPr>
          <w:rFonts w:cs="Times New Roman"/>
          <w:sz w:val="28"/>
          <w:szCs w:val="28"/>
          <w:lang w:val="en-US"/>
        </w:rPr>
        <w:t>Khi văn bản pháp luật được sửa đổi, bổ sung hoặc thay thế, văn bản mới được áp dụng theo quy định. Đối với tài liệu kỹ thuật có phiên bản mới, việc sử dụng phải bảo đảm mức an toàn không thấp hơn và phù hợp hướng dẫn của cơ quan có thẩm quyền. Quy định này tạo khả năng cập nhật nhưng vẫn duy trì tính xác định của yêu cầu bắt buộc.</w:t>
      </w:r>
    </w:p>
    <w:p w14:paraId="413A3F78" w14:textId="7474472F" w:rsidR="00170D17"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IV. </w:t>
      </w:r>
      <w:r w:rsidR="00170D17" w:rsidRPr="00170D17">
        <w:rPr>
          <w:rFonts w:cs="Times New Roman"/>
          <w:b/>
          <w:sz w:val="28"/>
          <w:szCs w:val="28"/>
        </w:rPr>
        <w:t>TÍNH KHẢ THI VÀ NGUỒN LỰC THỰC HIỆN</w:t>
      </w:r>
    </w:p>
    <w:p w14:paraId="2D90D0AA" w14:textId="77777777"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Hệ thống TCVN tương đương IEC đã được ban hành; tổ chức thử nghiệm, chứng nhận có thể phát triển phạm vi năng lực theo ISO/IEC 17025 và ISO/IEC 17065. Doanh nghiệp đang sử dụng phổ biến thiết bị theo IEC 61851 nên có nền tảng kỹ thuật để chuyển đổi. Yêu cầu đối với trạm chủ yếu kế thừa quy định điện lực, PCCC, xây dựng và đo lường, qua đó hạn chế phát sinh thủ tục mới.</w:t>
      </w:r>
    </w:p>
    <w:p w14:paraId="49176777" w14:textId="2BDBD4A1" w:rsidR="00170D17" w:rsidRPr="00170D17" w:rsidRDefault="00170D17" w:rsidP="00170D17">
      <w:pPr>
        <w:spacing w:before="120" w:line="240" w:lineRule="auto"/>
        <w:ind w:firstLine="720"/>
        <w:rPr>
          <w:rFonts w:cs="Times New Roman"/>
          <w:bCs/>
          <w:sz w:val="28"/>
          <w:szCs w:val="28"/>
        </w:rPr>
      </w:pPr>
      <w:r w:rsidRPr="00170D17">
        <w:rPr>
          <w:rFonts w:cs="Times New Roman"/>
          <w:bCs/>
          <w:sz w:val="28"/>
          <w:szCs w:val="28"/>
        </w:rPr>
        <w:t>Cơ quan quản lý thực hiện thông qua hướng dẫn, chỉ định tổ chức đánh giá sự phù hợp, kiểm tra chất lượng hàng hóa, phối hợp quản lý trạm và hậu kiểm. Chủ đầu tư, đơn vị vận hành thực hiện trong chu kỳ thiết kế, nghiệm thu, bảo trì và cải tạo. Lộ trình đến ngày 01/7/2027 và điều khoản chuyển tiếp tạo điều kiện chuẩn bị nhân lực, hồ sơ, thiết bị thử nghiệm và kinh phí phù hợp.</w:t>
      </w:r>
    </w:p>
    <w:p w14:paraId="17964D74" w14:textId="5D4A7CA3" w:rsidR="001A0BDB" w:rsidRPr="00170D17" w:rsidRDefault="009D1917" w:rsidP="00170D17">
      <w:pPr>
        <w:spacing w:before="120" w:line="240" w:lineRule="auto"/>
        <w:ind w:firstLine="720"/>
        <w:rPr>
          <w:rFonts w:cs="Times New Roman"/>
          <w:sz w:val="28"/>
          <w:szCs w:val="28"/>
        </w:rPr>
      </w:pPr>
      <w:r w:rsidRPr="00170D17">
        <w:rPr>
          <w:rFonts w:cs="Times New Roman"/>
          <w:b/>
          <w:sz w:val="28"/>
          <w:szCs w:val="28"/>
        </w:rPr>
        <w:t xml:space="preserve">V. </w:t>
      </w:r>
      <w:r w:rsidR="00170D17" w:rsidRPr="00170D17">
        <w:rPr>
          <w:rFonts w:cs="Times New Roman"/>
          <w:b/>
          <w:sz w:val="28"/>
          <w:szCs w:val="28"/>
        </w:rPr>
        <w:t>BẢNG ĐỐI CHIẾU NỘI DUNG DỰ THẢO VỚI CĂN CỨ, TÀI LIỆU THAM CHIẾU</w:t>
      </w:r>
    </w:p>
    <w:tbl>
      <w:tblPr>
        <w:tblStyle w:val="TableGrid"/>
        <w:tblW w:w="0" w:type="auto"/>
        <w:tblInd w:w="100" w:type="dxa"/>
        <w:tblLook w:val="04A0" w:firstRow="1" w:lastRow="0" w:firstColumn="1" w:lastColumn="0" w:noHBand="0" w:noVBand="1"/>
      </w:tblPr>
      <w:tblGrid>
        <w:gridCol w:w="1179"/>
        <w:gridCol w:w="1529"/>
        <w:gridCol w:w="2216"/>
        <w:gridCol w:w="1597"/>
        <w:gridCol w:w="2440"/>
      </w:tblGrid>
      <w:tr w:rsidR="00170D17" w:rsidRPr="00170D17" w14:paraId="14A889AA" w14:textId="77777777" w:rsidTr="00170D17">
        <w:trPr>
          <w:cantSplit/>
          <w:tblHeader/>
        </w:trPr>
        <w:tc>
          <w:tcPr>
            <w:tcW w:w="0" w:type="auto"/>
            <w:shd w:val="clear" w:color="auto" w:fill="E7E6E6"/>
            <w:tcMar>
              <w:top w:w="80" w:type="dxa"/>
              <w:left w:w="100" w:type="dxa"/>
              <w:bottom w:w="80" w:type="dxa"/>
              <w:right w:w="100" w:type="dxa"/>
            </w:tcMar>
            <w:vAlign w:val="center"/>
          </w:tcPr>
          <w:p w14:paraId="61D99F63" w14:textId="77777777" w:rsidR="00170D17" w:rsidRPr="00170D17" w:rsidRDefault="00170D17" w:rsidP="00170D17">
            <w:pPr>
              <w:spacing w:before="120"/>
              <w:ind w:left="113" w:right="113"/>
              <w:contextualSpacing/>
              <w:rPr>
                <w:rFonts w:cs="Times New Roman"/>
                <w:b/>
                <w:sz w:val="24"/>
                <w:szCs w:val="24"/>
                <w:lang w:val="en-US"/>
              </w:rPr>
            </w:pPr>
            <w:r w:rsidRPr="00170D17">
              <w:rPr>
                <w:rFonts w:cs="Times New Roman"/>
                <w:b/>
                <w:sz w:val="24"/>
                <w:szCs w:val="24"/>
                <w:lang w:val="en-US"/>
              </w:rPr>
              <w:t>Điều, khoản</w:t>
            </w:r>
          </w:p>
        </w:tc>
        <w:tc>
          <w:tcPr>
            <w:tcW w:w="0" w:type="auto"/>
            <w:shd w:val="clear" w:color="auto" w:fill="E7E6E6"/>
            <w:tcMar>
              <w:top w:w="80" w:type="dxa"/>
              <w:left w:w="100" w:type="dxa"/>
              <w:bottom w:w="80" w:type="dxa"/>
              <w:right w:w="100" w:type="dxa"/>
            </w:tcMar>
            <w:vAlign w:val="center"/>
          </w:tcPr>
          <w:p w14:paraId="74C478A5" w14:textId="77777777" w:rsidR="00170D17" w:rsidRPr="00170D17" w:rsidRDefault="00170D17" w:rsidP="00170D17">
            <w:pPr>
              <w:spacing w:before="120"/>
              <w:ind w:left="113" w:right="113"/>
              <w:contextualSpacing/>
              <w:rPr>
                <w:rFonts w:cs="Times New Roman"/>
                <w:b/>
                <w:sz w:val="24"/>
                <w:szCs w:val="24"/>
                <w:lang w:val="en-US"/>
              </w:rPr>
            </w:pPr>
            <w:r w:rsidRPr="00170D17">
              <w:rPr>
                <w:rFonts w:cs="Times New Roman"/>
                <w:b/>
                <w:sz w:val="24"/>
                <w:szCs w:val="24"/>
                <w:lang w:val="en-US"/>
              </w:rPr>
              <w:t>Nội dung điều chỉnh</w:t>
            </w:r>
          </w:p>
        </w:tc>
        <w:tc>
          <w:tcPr>
            <w:tcW w:w="0" w:type="auto"/>
            <w:shd w:val="clear" w:color="auto" w:fill="E7E6E6"/>
            <w:tcMar>
              <w:top w:w="80" w:type="dxa"/>
              <w:left w:w="100" w:type="dxa"/>
              <w:bottom w:w="80" w:type="dxa"/>
              <w:right w:w="100" w:type="dxa"/>
            </w:tcMar>
            <w:vAlign w:val="center"/>
          </w:tcPr>
          <w:p w14:paraId="3055506C" w14:textId="77777777" w:rsidR="00170D17" w:rsidRPr="00170D17" w:rsidRDefault="00170D17" w:rsidP="00170D17">
            <w:pPr>
              <w:spacing w:before="120"/>
              <w:ind w:left="113" w:right="113"/>
              <w:contextualSpacing/>
              <w:rPr>
                <w:rFonts w:cs="Times New Roman"/>
                <w:b/>
                <w:sz w:val="24"/>
                <w:szCs w:val="24"/>
                <w:lang w:val="en-US"/>
              </w:rPr>
            </w:pPr>
            <w:r w:rsidRPr="00170D17">
              <w:rPr>
                <w:rFonts w:cs="Times New Roman"/>
                <w:b/>
                <w:sz w:val="24"/>
                <w:szCs w:val="24"/>
                <w:lang w:val="en-US"/>
              </w:rPr>
              <w:t>Căn cứ, tài liệu tham chiếu</w:t>
            </w:r>
          </w:p>
        </w:tc>
        <w:tc>
          <w:tcPr>
            <w:tcW w:w="0" w:type="auto"/>
            <w:shd w:val="clear" w:color="auto" w:fill="E7E6E6"/>
            <w:tcMar>
              <w:top w:w="80" w:type="dxa"/>
              <w:left w:w="100" w:type="dxa"/>
              <w:bottom w:w="80" w:type="dxa"/>
              <w:right w:w="100" w:type="dxa"/>
            </w:tcMar>
            <w:vAlign w:val="center"/>
          </w:tcPr>
          <w:p w14:paraId="53FB0A16" w14:textId="77777777" w:rsidR="00170D17" w:rsidRPr="00170D17" w:rsidRDefault="00170D17" w:rsidP="00170D17">
            <w:pPr>
              <w:spacing w:before="120"/>
              <w:ind w:left="113" w:right="113"/>
              <w:contextualSpacing/>
              <w:rPr>
                <w:rFonts w:cs="Times New Roman"/>
                <w:b/>
                <w:sz w:val="24"/>
                <w:szCs w:val="24"/>
                <w:lang w:val="en-US"/>
              </w:rPr>
            </w:pPr>
            <w:r w:rsidRPr="00170D17">
              <w:rPr>
                <w:rFonts w:cs="Times New Roman"/>
                <w:b/>
                <w:sz w:val="24"/>
                <w:szCs w:val="24"/>
                <w:lang w:val="en-US"/>
              </w:rPr>
              <w:t>Phương án xây dựng</w:t>
            </w:r>
          </w:p>
        </w:tc>
        <w:tc>
          <w:tcPr>
            <w:tcW w:w="0" w:type="auto"/>
            <w:shd w:val="clear" w:color="auto" w:fill="E7E6E6"/>
            <w:tcMar>
              <w:top w:w="80" w:type="dxa"/>
              <w:left w:w="100" w:type="dxa"/>
              <w:bottom w:w="80" w:type="dxa"/>
              <w:right w:w="100" w:type="dxa"/>
            </w:tcMar>
            <w:vAlign w:val="center"/>
          </w:tcPr>
          <w:p w14:paraId="60BED970" w14:textId="77777777" w:rsidR="00170D17" w:rsidRPr="00170D17" w:rsidRDefault="00170D17" w:rsidP="00170D17">
            <w:pPr>
              <w:spacing w:before="120"/>
              <w:ind w:left="113" w:right="113"/>
              <w:contextualSpacing/>
              <w:rPr>
                <w:rFonts w:cs="Times New Roman"/>
                <w:b/>
                <w:sz w:val="24"/>
                <w:szCs w:val="24"/>
                <w:lang w:val="en-US"/>
              </w:rPr>
            </w:pPr>
            <w:r w:rsidRPr="00170D17">
              <w:rPr>
                <w:rFonts w:cs="Times New Roman"/>
                <w:b/>
                <w:sz w:val="24"/>
                <w:szCs w:val="24"/>
                <w:lang w:val="en-US"/>
              </w:rPr>
              <w:t>Lý do, yêu cầu quản lý</w:t>
            </w:r>
          </w:p>
        </w:tc>
      </w:tr>
      <w:tr w:rsidR="00170D17" w:rsidRPr="00170D17" w14:paraId="74B1DD96" w14:textId="77777777" w:rsidTr="00170D17">
        <w:trPr>
          <w:cantSplit/>
        </w:trPr>
        <w:tc>
          <w:tcPr>
            <w:tcW w:w="0" w:type="auto"/>
            <w:tcMar>
              <w:top w:w="80" w:type="dxa"/>
              <w:left w:w="100" w:type="dxa"/>
              <w:bottom w:w="80" w:type="dxa"/>
              <w:right w:w="100" w:type="dxa"/>
            </w:tcMar>
          </w:tcPr>
          <w:p w14:paraId="20B5E86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1.1</w:t>
            </w:r>
          </w:p>
        </w:tc>
        <w:tc>
          <w:tcPr>
            <w:tcW w:w="0" w:type="auto"/>
            <w:tcMar>
              <w:top w:w="80" w:type="dxa"/>
              <w:left w:w="100" w:type="dxa"/>
              <w:bottom w:w="80" w:type="dxa"/>
              <w:right w:w="100" w:type="dxa"/>
            </w:tcMar>
          </w:tcPr>
          <w:p w14:paraId="7DA22A6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Phạm vi QCVN</w:t>
            </w:r>
          </w:p>
        </w:tc>
        <w:tc>
          <w:tcPr>
            <w:tcW w:w="0" w:type="auto"/>
            <w:tcMar>
              <w:top w:w="80" w:type="dxa"/>
              <w:left w:w="100" w:type="dxa"/>
              <w:bottom w:w="80" w:type="dxa"/>
              <w:right w:w="100" w:type="dxa"/>
            </w:tcMar>
          </w:tcPr>
          <w:p w14:paraId="5141DA4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Luật TC&amp;QCKT; phân công quản lý</w:t>
            </w:r>
          </w:p>
        </w:tc>
        <w:tc>
          <w:tcPr>
            <w:tcW w:w="0" w:type="auto"/>
            <w:tcMar>
              <w:top w:w="80" w:type="dxa"/>
              <w:left w:w="100" w:type="dxa"/>
              <w:bottom w:w="80" w:type="dxa"/>
              <w:right w:w="100" w:type="dxa"/>
            </w:tcMar>
          </w:tcPr>
          <w:p w14:paraId="6660CC5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2A8CC01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Bao quát sản phẩm trụ và hệ thống trạm, giới hạn đúng đối tượng.</w:t>
            </w:r>
          </w:p>
        </w:tc>
      </w:tr>
      <w:tr w:rsidR="00170D17" w:rsidRPr="00170D17" w14:paraId="5CADF90E" w14:textId="77777777" w:rsidTr="00170D17">
        <w:trPr>
          <w:cantSplit/>
        </w:trPr>
        <w:tc>
          <w:tcPr>
            <w:tcW w:w="0" w:type="auto"/>
            <w:tcMar>
              <w:top w:w="80" w:type="dxa"/>
              <w:left w:w="100" w:type="dxa"/>
              <w:bottom w:w="80" w:type="dxa"/>
              <w:right w:w="100" w:type="dxa"/>
            </w:tcMar>
          </w:tcPr>
          <w:p w14:paraId="668EBC4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lastRenderedPageBreak/>
              <w:t>1.2</w:t>
            </w:r>
          </w:p>
        </w:tc>
        <w:tc>
          <w:tcPr>
            <w:tcW w:w="0" w:type="auto"/>
            <w:tcMar>
              <w:top w:w="80" w:type="dxa"/>
              <w:left w:w="100" w:type="dxa"/>
              <w:bottom w:w="80" w:type="dxa"/>
              <w:right w:w="100" w:type="dxa"/>
            </w:tcMar>
          </w:tcPr>
          <w:p w14:paraId="0CD9C22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Đối tượng áp dụng</w:t>
            </w:r>
          </w:p>
        </w:tc>
        <w:tc>
          <w:tcPr>
            <w:tcW w:w="0" w:type="auto"/>
            <w:tcMar>
              <w:top w:w="80" w:type="dxa"/>
              <w:left w:w="100" w:type="dxa"/>
              <w:bottom w:w="80" w:type="dxa"/>
              <w:right w:w="100" w:type="dxa"/>
            </w:tcMar>
          </w:tcPr>
          <w:p w14:paraId="18F9AA7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Chuỗi chủ thể thực tế</w:t>
            </w:r>
          </w:p>
        </w:tc>
        <w:tc>
          <w:tcPr>
            <w:tcW w:w="0" w:type="auto"/>
            <w:tcMar>
              <w:top w:w="80" w:type="dxa"/>
              <w:left w:w="100" w:type="dxa"/>
              <w:bottom w:w="80" w:type="dxa"/>
              <w:right w:w="100" w:type="dxa"/>
            </w:tcMar>
          </w:tcPr>
          <w:p w14:paraId="3D0D1A0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3AAB677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Phân định trách nhiệm toàn vòng đời.</w:t>
            </w:r>
          </w:p>
        </w:tc>
      </w:tr>
      <w:tr w:rsidR="00170D17" w:rsidRPr="00170D17" w14:paraId="127CFFD2" w14:textId="77777777" w:rsidTr="00170D17">
        <w:trPr>
          <w:cantSplit/>
        </w:trPr>
        <w:tc>
          <w:tcPr>
            <w:tcW w:w="0" w:type="auto"/>
            <w:tcMar>
              <w:top w:w="80" w:type="dxa"/>
              <w:left w:w="100" w:type="dxa"/>
              <w:bottom w:w="80" w:type="dxa"/>
              <w:right w:w="100" w:type="dxa"/>
            </w:tcMar>
          </w:tcPr>
          <w:p w14:paraId="1938755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1.3</w:t>
            </w:r>
          </w:p>
        </w:tc>
        <w:tc>
          <w:tcPr>
            <w:tcW w:w="0" w:type="auto"/>
            <w:tcMar>
              <w:top w:w="80" w:type="dxa"/>
              <w:left w:w="100" w:type="dxa"/>
              <w:bottom w:w="80" w:type="dxa"/>
              <w:right w:w="100" w:type="dxa"/>
            </w:tcMar>
          </w:tcPr>
          <w:p w14:paraId="25FA499F"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Nguyên tắc áp dụng</w:t>
            </w:r>
          </w:p>
        </w:tc>
        <w:tc>
          <w:tcPr>
            <w:tcW w:w="0" w:type="auto"/>
            <w:tcMar>
              <w:top w:w="80" w:type="dxa"/>
              <w:left w:w="100" w:type="dxa"/>
              <w:bottom w:w="80" w:type="dxa"/>
              <w:right w:w="100" w:type="dxa"/>
            </w:tcMar>
          </w:tcPr>
          <w:p w14:paraId="0DE7296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Pháp luật chuyên ngành</w:t>
            </w:r>
          </w:p>
        </w:tc>
        <w:tc>
          <w:tcPr>
            <w:tcW w:w="0" w:type="auto"/>
            <w:tcMar>
              <w:top w:w="80" w:type="dxa"/>
              <w:left w:w="100" w:type="dxa"/>
              <w:bottom w:w="80" w:type="dxa"/>
              <w:right w:w="100" w:type="dxa"/>
            </w:tcMar>
          </w:tcPr>
          <w:p w14:paraId="782B7F8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37C8193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Xác định mức tối thiểu và áp dụng đồng thời.</w:t>
            </w:r>
          </w:p>
        </w:tc>
      </w:tr>
      <w:tr w:rsidR="00170D17" w:rsidRPr="00170D17" w14:paraId="63B9BBB4" w14:textId="77777777" w:rsidTr="00170D17">
        <w:trPr>
          <w:cantSplit/>
        </w:trPr>
        <w:tc>
          <w:tcPr>
            <w:tcW w:w="0" w:type="auto"/>
            <w:tcMar>
              <w:top w:w="80" w:type="dxa"/>
              <w:left w:w="100" w:type="dxa"/>
              <w:bottom w:w="80" w:type="dxa"/>
              <w:right w:w="100" w:type="dxa"/>
            </w:tcMar>
          </w:tcPr>
          <w:p w14:paraId="606ED9C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1.4</w:t>
            </w:r>
          </w:p>
        </w:tc>
        <w:tc>
          <w:tcPr>
            <w:tcW w:w="0" w:type="auto"/>
            <w:tcMar>
              <w:top w:w="80" w:type="dxa"/>
              <w:left w:w="100" w:type="dxa"/>
              <w:bottom w:w="80" w:type="dxa"/>
              <w:right w:w="100" w:type="dxa"/>
            </w:tcMar>
          </w:tcPr>
          <w:p w14:paraId="17A593D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Tài liệu viện dẫn</w:t>
            </w:r>
          </w:p>
        </w:tc>
        <w:tc>
          <w:tcPr>
            <w:tcW w:w="0" w:type="auto"/>
            <w:tcMar>
              <w:top w:w="80" w:type="dxa"/>
              <w:left w:w="100" w:type="dxa"/>
              <w:bottom w:w="80" w:type="dxa"/>
              <w:right w:w="100" w:type="dxa"/>
            </w:tcMar>
          </w:tcPr>
          <w:p w14:paraId="462666B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QCVN, ISO, IEC</w:t>
            </w:r>
          </w:p>
        </w:tc>
        <w:tc>
          <w:tcPr>
            <w:tcW w:w="0" w:type="auto"/>
            <w:tcMar>
              <w:top w:w="80" w:type="dxa"/>
              <w:left w:w="100" w:type="dxa"/>
              <w:bottom w:w="80" w:type="dxa"/>
              <w:right w:w="100" w:type="dxa"/>
            </w:tcMar>
          </w:tcPr>
          <w:p w14:paraId="4A3E733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58D7A3F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Tận dụng tiêu chuẩn hiện hành, tránh lặp lại.</w:t>
            </w:r>
          </w:p>
        </w:tc>
      </w:tr>
      <w:tr w:rsidR="00170D17" w:rsidRPr="00170D17" w14:paraId="6B6D7351" w14:textId="77777777" w:rsidTr="00170D17">
        <w:trPr>
          <w:cantSplit/>
        </w:trPr>
        <w:tc>
          <w:tcPr>
            <w:tcW w:w="0" w:type="auto"/>
            <w:tcMar>
              <w:top w:w="80" w:type="dxa"/>
              <w:left w:w="100" w:type="dxa"/>
              <w:bottom w:w="80" w:type="dxa"/>
              <w:right w:w="100" w:type="dxa"/>
            </w:tcMar>
          </w:tcPr>
          <w:p w14:paraId="6762D01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1.5</w:t>
            </w:r>
          </w:p>
        </w:tc>
        <w:tc>
          <w:tcPr>
            <w:tcW w:w="0" w:type="auto"/>
            <w:tcMar>
              <w:top w:w="80" w:type="dxa"/>
              <w:left w:w="100" w:type="dxa"/>
              <w:bottom w:w="80" w:type="dxa"/>
              <w:right w:w="100" w:type="dxa"/>
            </w:tcMar>
          </w:tcPr>
          <w:p w14:paraId="54D5EB2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Thuật ngữ</w:t>
            </w:r>
          </w:p>
        </w:tc>
        <w:tc>
          <w:tcPr>
            <w:tcW w:w="0" w:type="auto"/>
            <w:tcMar>
              <w:top w:w="80" w:type="dxa"/>
              <w:left w:w="100" w:type="dxa"/>
              <w:bottom w:w="80" w:type="dxa"/>
              <w:right w:w="100" w:type="dxa"/>
            </w:tcMar>
          </w:tcPr>
          <w:p w14:paraId="2DAC21F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13078-1 và thực tiễn trạm</w:t>
            </w:r>
          </w:p>
        </w:tc>
        <w:tc>
          <w:tcPr>
            <w:tcW w:w="0" w:type="auto"/>
            <w:tcMar>
              <w:top w:w="80" w:type="dxa"/>
              <w:left w:w="100" w:type="dxa"/>
              <w:bottom w:w="80" w:type="dxa"/>
              <w:right w:w="100" w:type="dxa"/>
            </w:tcMar>
          </w:tcPr>
          <w:p w14:paraId="3FA0144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Tham khảo, bổ sung</w:t>
            </w:r>
          </w:p>
        </w:tc>
        <w:tc>
          <w:tcPr>
            <w:tcW w:w="0" w:type="auto"/>
            <w:tcMar>
              <w:top w:w="80" w:type="dxa"/>
              <w:left w:w="100" w:type="dxa"/>
              <w:bottom w:w="80" w:type="dxa"/>
              <w:right w:w="100" w:type="dxa"/>
            </w:tcMar>
          </w:tcPr>
          <w:p w14:paraId="7B36412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Thống nhất trụ, trạm, ô sạc, PCC, RCD, BESS.</w:t>
            </w:r>
          </w:p>
        </w:tc>
      </w:tr>
      <w:tr w:rsidR="00170D17" w:rsidRPr="00170D17" w14:paraId="133594B9" w14:textId="77777777" w:rsidTr="00170D17">
        <w:trPr>
          <w:cantSplit/>
        </w:trPr>
        <w:tc>
          <w:tcPr>
            <w:tcW w:w="0" w:type="auto"/>
            <w:tcMar>
              <w:top w:w="80" w:type="dxa"/>
              <w:left w:w="100" w:type="dxa"/>
              <w:bottom w:w="80" w:type="dxa"/>
              <w:right w:w="100" w:type="dxa"/>
            </w:tcMar>
          </w:tcPr>
          <w:p w14:paraId="60EDCCA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1.6</w:t>
            </w:r>
          </w:p>
        </w:tc>
        <w:tc>
          <w:tcPr>
            <w:tcW w:w="0" w:type="auto"/>
            <w:tcMar>
              <w:top w:w="80" w:type="dxa"/>
              <w:left w:w="100" w:type="dxa"/>
              <w:bottom w:w="80" w:type="dxa"/>
              <w:right w:w="100" w:type="dxa"/>
            </w:tcMar>
          </w:tcPr>
          <w:p w14:paraId="1DD127F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Phân loại trụ</w:t>
            </w:r>
          </w:p>
        </w:tc>
        <w:tc>
          <w:tcPr>
            <w:tcW w:w="0" w:type="auto"/>
            <w:tcMar>
              <w:top w:w="80" w:type="dxa"/>
              <w:left w:w="100" w:type="dxa"/>
              <w:bottom w:w="80" w:type="dxa"/>
              <w:right w:w="100" w:type="dxa"/>
            </w:tcMar>
          </w:tcPr>
          <w:p w14:paraId="7BF70DE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13078-1, 13078-23</w:t>
            </w:r>
          </w:p>
        </w:tc>
        <w:tc>
          <w:tcPr>
            <w:tcW w:w="0" w:type="auto"/>
            <w:tcMar>
              <w:top w:w="80" w:type="dxa"/>
              <w:left w:w="100" w:type="dxa"/>
              <w:bottom w:w="80" w:type="dxa"/>
              <w:right w:w="100" w:type="dxa"/>
            </w:tcMar>
          </w:tcPr>
          <w:p w14:paraId="4FDCB18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Tham khảo</w:t>
            </w:r>
          </w:p>
        </w:tc>
        <w:tc>
          <w:tcPr>
            <w:tcW w:w="0" w:type="auto"/>
            <w:tcMar>
              <w:top w:w="80" w:type="dxa"/>
              <w:left w:w="100" w:type="dxa"/>
              <w:bottom w:w="80" w:type="dxa"/>
              <w:right w:w="100" w:type="dxa"/>
            </w:tcMar>
          </w:tcPr>
          <w:p w14:paraId="60936FD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Phân loại AC, DC và cấu hình kết hợp.</w:t>
            </w:r>
          </w:p>
        </w:tc>
      </w:tr>
      <w:tr w:rsidR="00170D17" w:rsidRPr="00170D17" w14:paraId="6D9F96A4" w14:textId="77777777" w:rsidTr="00170D17">
        <w:trPr>
          <w:cantSplit/>
        </w:trPr>
        <w:tc>
          <w:tcPr>
            <w:tcW w:w="0" w:type="auto"/>
            <w:tcMar>
              <w:top w:w="80" w:type="dxa"/>
              <w:left w:w="100" w:type="dxa"/>
              <w:bottom w:w="80" w:type="dxa"/>
              <w:right w:w="100" w:type="dxa"/>
            </w:tcMar>
          </w:tcPr>
          <w:p w14:paraId="099730F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2.1</w:t>
            </w:r>
          </w:p>
        </w:tc>
        <w:tc>
          <w:tcPr>
            <w:tcW w:w="0" w:type="auto"/>
            <w:tcMar>
              <w:top w:w="80" w:type="dxa"/>
              <w:left w:w="100" w:type="dxa"/>
              <w:bottom w:w="80" w:type="dxa"/>
              <w:right w:w="100" w:type="dxa"/>
            </w:tcMar>
          </w:tcPr>
          <w:p w14:paraId="083EFAB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Yêu cầu chung trụ</w:t>
            </w:r>
          </w:p>
        </w:tc>
        <w:tc>
          <w:tcPr>
            <w:tcW w:w="0" w:type="auto"/>
            <w:tcMar>
              <w:top w:w="80" w:type="dxa"/>
              <w:left w:w="100" w:type="dxa"/>
              <w:bottom w:w="80" w:type="dxa"/>
              <w:right w:w="100" w:type="dxa"/>
            </w:tcMar>
          </w:tcPr>
          <w:p w14:paraId="7325A0D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13078-1</w:t>
            </w:r>
          </w:p>
        </w:tc>
        <w:tc>
          <w:tcPr>
            <w:tcW w:w="0" w:type="auto"/>
            <w:tcMar>
              <w:top w:w="80" w:type="dxa"/>
              <w:left w:w="100" w:type="dxa"/>
              <w:bottom w:w="80" w:type="dxa"/>
              <w:right w:w="100" w:type="dxa"/>
            </w:tcMar>
          </w:tcPr>
          <w:p w14:paraId="059827D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Chấp nhận</w:t>
            </w:r>
          </w:p>
        </w:tc>
        <w:tc>
          <w:tcPr>
            <w:tcW w:w="0" w:type="auto"/>
            <w:tcMar>
              <w:top w:w="80" w:type="dxa"/>
              <w:left w:w="100" w:type="dxa"/>
              <w:bottom w:w="80" w:type="dxa"/>
              <w:right w:w="100" w:type="dxa"/>
            </w:tcMar>
          </w:tcPr>
          <w:p w14:paraId="393CD40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truyền năng lượng an toàn, tin cậy.</w:t>
            </w:r>
          </w:p>
        </w:tc>
      </w:tr>
      <w:tr w:rsidR="00170D17" w:rsidRPr="00170D17" w14:paraId="35AC0648" w14:textId="77777777" w:rsidTr="00170D17">
        <w:trPr>
          <w:cantSplit/>
        </w:trPr>
        <w:tc>
          <w:tcPr>
            <w:tcW w:w="0" w:type="auto"/>
            <w:tcMar>
              <w:top w:w="80" w:type="dxa"/>
              <w:left w:w="100" w:type="dxa"/>
              <w:bottom w:w="80" w:type="dxa"/>
              <w:right w:w="100" w:type="dxa"/>
            </w:tcMar>
          </w:tcPr>
          <w:p w14:paraId="1E62F9F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2.2</w:t>
            </w:r>
          </w:p>
        </w:tc>
        <w:tc>
          <w:tcPr>
            <w:tcW w:w="0" w:type="auto"/>
            <w:tcMar>
              <w:top w:w="80" w:type="dxa"/>
              <w:left w:w="100" w:type="dxa"/>
              <w:bottom w:w="80" w:type="dxa"/>
              <w:right w:w="100" w:type="dxa"/>
            </w:tcMar>
          </w:tcPr>
          <w:p w14:paraId="561BE08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An toàn trụ</w:t>
            </w:r>
          </w:p>
        </w:tc>
        <w:tc>
          <w:tcPr>
            <w:tcW w:w="0" w:type="auto"/>
            <w:tcMar>
              <w:top w:w="80" w:type="dxa"/>
              <w:left w:w="100" w:type="dxa"/>
              <w:bottom w:w="80" w:type="dxa"/>
              <w:right w:w="100" w:type="dxa"/>
            </w:tcMar>
          </w:tcPr>
          <w:p w14:paraId="0681818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Điều 8–13 TCVN 13078-1</w:t>
            </w:r>
          </w:p>
        </w:tc>
        <w:tc>
          <w:tcPr>
            <w:tcW w:w="0" w:type="auto"/>
            <w:tcMar>
              <w:top w:w="80" w:type="dxa"/>
              <w:left w:w="100" w:type="dxa"/>
              <w:bottom w:w="80" w:type="dxa"/>
              <w:right w:w="100" w:type="dxa"/>
            </w:tcMar>
          </w:tcPr>
          <w:p w14:paraId="31539DE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 trực tiếp</w:t>
            </w:r>
          </w:p>
        </w:tc>
        <w:tc>
          <w:tcPr>
            <w:tcW w:w="0" w:type="auto"/>
            <w:tcMar>
              <w:top w:w="80" w:type="dxa"/>
              <w:left w:w="100" w:type="dxa"/>
              <w:bottom w:w="80" w:type="dxa"/>
              <w:right w:w="100" w:type="dxa"/>
            </w:tcMar>
          </w:tcPr>
          <w:p w14:paraId="6FDE13D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Có tiêu chí và phương pháp thử thống nhất.</w:t>
            </w:r>
          </w:p>
        </w:tc>
      </w:tr>
      <w:tr w:rsidR="00170D17" w:rsidRPr="00170D17" w14:paraId="2E769605" w14:textId="77777777" w:rsidTr="00170D17">
        <w:trPr>
          <w:cantSplit/>
        </w:trPr>
        <w:tc>
          <w:tcPr>
            <w:tcW w:w="0" w:type="auto"/>
            <w:tcMar>
              <w:top w:w="80" w:type="dxa"/>
              <w:left w:w="100" w:type="dxa"/>
              <w:bottom w:w="80" w:type="dxa"/>
              <w:right w:w="100" w:type="dxa"/>
            </w:tcMar>
          </w:tcPr>
          <w:p w14:paraId="2379D6A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2.3</w:t>
            </w:r>
          </w:p>
        </w:tc>
        <w:tc>
          <w:tcPr>
            <w:tcW w:w="0" w:type="auto"/>
            <w:tcMar>
              <w:top w:w="80" w:type="dxa"/>
              <w:left w:w="100" w:type="dxa"/>
              <w:bottom w:w="80" w:type="dxa"/>
              <w:right w:w="100" w:type="dxa"/>
            </w:tcMar>
          </w:tcPr>
          <w:p w14:paraId="142C2D4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EMC</w:t>
            </w:r>
          </w:p>
        </w:tc>
        <w:tc>
          <w:tcPr>
            <w:tcW w:w="0" w:type="auto"/>
            <w:tcMar>
              <w:top w:w="80" w:type="dxa"/>
              <w:left w:w="100" w:type="dxa"/>
              <w:bottom w:w="80" w:type="dxa"/>
              <w:right w:w="100" w:type="dxa"/>
            </w:tcMar>
          </w:tcPr>
          <w:p w14:paraId="7DD2564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13078-21-2; QCVN vô tuyến</w:t>
            </w:r>
          </w:p>
        </w:tc>
        <w:tc>
          <w:tcPr>
            <w:tcW w:w="0" w:type="auto"/>
            <w:tcMar>
              <w:top w:w="80" w:type="dxa"/>
              <w:left w:w="100" w:type="dxa"/>
              <w:bottom w:w="80" w:type="dxa"/>
              <w:right w:w="100" w:type="dxa"/>
            </w:tcMar>
          </w:tcPr>
          <w:p w14:paraId="0945FA2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5C9A81E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Kiểm soát phát xạ, miễn nhiễm và thu phát sóng.</w:t>
            </w:r>
          </w:p>
        </w:tc>
      </w:tr>
      <w:tr w:rsidR="00170D17" w:rsidRPr="00170D17" w14:paraId="3EA2B5B9" w14:textId="77777777" w:rsidTr="00170D17">
        <w:trPr>
          <w:cantSplit/>
        </w:trPr>
        <w:tc>
          <w:tcPr>
            <w:tcW w:w="0" w:type="auto"/>
            <w:tcMar>
              <w:top w:w="80" w:type="dxa"/>
              <w:left w:w="100" w:type="dxa"/>
              <w:bottom w:w="80" w:type="dxa"/>
              <w:right w:w="100" w:type="dxa"/>
            </w:tcMar>
          </w:tcPr>
          <w:p w14:paraId="1666178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2.4</w:t>
            </w:r>
          </w:p>
        </w:tc>
        <w:tc>
          <w:tcPr>
            <w:tcW w:w="0" w:type="auto"/>
            <w:tcMar>
              <w:top w:w="80" w:type="dxa"/>
              <w:left w:w="100" w:type="dxa"/>
              <w:bottom w:w="80" w:type="dxa"/>
              <w:right w:w="100" w:type="dxa"/>
            </w:tcMar>
          </w:tcPr>
          <w:p w14:paraId="65A099F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Truyền thông</w:t>
            </w:r>
          </w:p>
        </w:tc>
        <w:tc>
          <w:tcPr>
            <w:tcW w:w="0" w:type="auto"/>
            <w:tcMar>
              <w:top w:w="80" w:type="dxa"/>
              <w:left w:w="100" w:type="dxa"/>
              <w:bottom w:w="80" w:type="dxa"/>
              <w:right w:w="100" w:type="dxa"/>
            </w:tcMar>
          </w:tcPr>
          <w:p w14:paraId="5D3F53FF"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Điều 7 TCVN 13078-1</w:t>
            </w:r>
          </w:p>
        </w:tc>
        <w:tc>
          <w:tcPr>
            <w:tcW w:w="0" w:type="auto"/>
            <w:tcMar>
              <w:top w:w="80" w:type="dxa"/>
              <w:left w:w="100" w:type="dxa"/>
              <w:bottom w:w="80" w:type="dxa"/>
              <w:right w:w="100" w:type="dxa"/>
            </w:tcMar>
          </w:tcPr>
          <w:p w14:paraId="6186517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78F0881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điều khiển quá trình sạc.</w:t>
            </w:r>
          </w:p>
        </w:tc>
      </w:tr>
      <w:tr w:rsidR="00170D17" w:rsidRPr="00170D17" w14:paraId="5609106E" w14:textId="77777777" w:rsidTr="00170D17">
        <w:trPr>
          <w:cantSplit/>
        </w:trPr>
        <w:tc>
          <w:tcPr>
            <w:tcW w:w="0" w:type="auto"/>
            <w:tcMar>
              <w:top w:w="80" w:type="dxa"/>
              <w:left w:w="100" w:type="dxa"/>
              <w:bottom w:w="80" w:type="dxa"/>
              <w:right w:w="100" w:type="dxa"/>
            </w:tcMar>
          </w:tcPr>
          <w:p w14:paraId="0322575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2.5</w:t>
            </w:r>
          </w:p>
        </w:tc>
        <w:tc>
          <w:tcPr>
            <w:tcW w:w="0" w:type="auto"/>
            <w:tcMar>
              <w:top w:w="80" w:type="dxa"/>
              <w:left w:w="100" w:type="dxa"/>
              <w:bottom w:w="80" w:type="dxa"/>
              <w:right w:w="100" w:type="dxa"/>
            </w:tcMar>
          </w:tcPr>
          <w:p w14:paraId="577D9C5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Trụ DC</w:t>
            </w:r>
          </w:p>
        </w:tc>
        <w:tc>
          <w:tcPr>
            <w:tcW w:w="0" w:type="auto"/>
            <w:tcMar>
              <w:top w:w="80" w:type="dxa"/>
              <w:left w:w="100" w:type="dxa"/>
              <w:bottom w:w="80" w:type="dxa"/>
              <w:right w:w="100" w:type="dxa"/>
            </w:tcMar>
          </w:tcPr>
          <w:p w14:paraId="08E3997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13078-23</w:t>
            </w:r>
          </w:p>
        </w:tc>
        <w:tc>
          <w:tcPr>
            <w:tcW w:w="0" w:type="auto"/>
            <w:tcMar>
              <w:top w:w="80" w:type="dxa"/>
              <w:left w:w="100" w:type="dxa"/>
              <w:bottom w:w="80" w:type="dxa"/>
              <w:right w:w="100" w:type="dxa"/>
            </w:tcMar>
          </w:tcPr>
          <w:p w14:paraId="1E841FC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4DC33D0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Kiểm soát rủi ro của chuyển đổi công suất DC.</w:t>
            </w:r>
          </w:p>
        </w:tc>
      </w:tr>
      <w:tr w:rsidR="00170D17" w:rsidRPr="00170D17" w14:paraId="1CCE7EC3" w14:textId="77777777" w:rsidTr="00170D17">
        <w:trPr>
          <w:cantSplit/>
        </w:trPr>
        <w:tc>
          <w:tcPr>
            <w:tcW w:w="0" w:type="auto"/>
            <w:tcMar>
              <w:top w:w="80" w:type="dxa"/>
              <w:left w:w="100" w:type="dxa"/>
              <w:bottom w:w="80" w:type="dxa"/>
              <w:right w:w="100" w:type="dxa"/>
            </w:tcMar>
          </w:tcPr>
          <w:p w14:paraId="34C8327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2.6</w:t>
            </w:r>
          </w:p>
        </w:tc>
        <w:tc>
          <w:tcPr>
            <w:tcW w:w="0" w:type="auto"/>
            <w:tcMar>
              <w:top w:w="80" w:type="dxa"/>
              <w:left w:w="100" w:type="dxa"/>
              <w:bottom w:w="80" w:type="dxa"/>
              <w:right w:w="100" w:type="dxa"/>
            </w:tcMar>
          </w:tcPr>
          <w:p w14:paraId="7F44C54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Ghi nhãn</w:t>
            </w:r>
          </w:p>
        </w:tc>
        <w:tc>
          <w:tcPr>
            <w:tcW w:w="0" w:type="auto"/>
            <w:tcMar>
              <w:top w:w="80" w:type="dxa"/>
              <w:left w:w="100" w:type="dxa"/>
              <w:bottom w:w="80" w:type="dxa"/>
              <w:right w:w="100" w:type="dxa"/>
            </w:tcMar>
          </w:tcPr>
          <w:p w14:paraId="0C517B5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Pháp luật ghi nhãn; TCVN 13078-1</w:t>
            </w:r>
          </w:p>
        </w:tc>
        <w:tc>
          <w:tcPr>
            <w:tcW w:w="0" w:type="auto"/>
            <w:tcMar>
              <w:top w:w="80" w:type="dxa"/>
              <w:left w:w="100" w:type="dxa"/>
              <w:bottom w:w="80" w:type="dxa"/>
              <w:right w:w="100" w:type="dxa"/>
            </w:tcMar>
          </w:tcPr>
          <w:p w14:paraId="2CF6130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Kết hợp</w:t>
            </w:r>
          </w:p>
        </w:tc>
        <w:tc>
          <w:tcPr>
            <w:tcW w:w="0" w:type="auto"/>
            <w:tcMar>
              <w:top w:w="80" w:type="dxa"/>
              <w:left w:w="100" w:type="dxa"/>
              <w:bottom w:w="80" w:type="dxa"/>
              <w:right w:w="100" w:type="dxa"/>
            </w:tcMar>
          </w:tcPr>
          <w:p w14:paraId="7744932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Hỗ trợ lựa chọn, sử dụng và truy xuất.</w:t>
            </w:r>
          </w:p>
        </w:tc>
      </w:tr>
      <w:tr w:rsidR="00170D17" w:rsidRPr="00170D17" w14:paraId="36C8AE1A" w14:textId="77777777" w:rsidTr="00170D17">
        <w:trPr>
          <w:cantSplit/>
        </w:trPr>
        <w:tc>
          <w:tcPr>
            <w:tcW w:w="0" w:type="auto"/>
            <w:tcMar>
              <w:top w:w="80" w:type="dxa"/>
              <w:left w:w="100" w:type="dxa"/>
              <w:bottom w:w="80" w:type="dxa"/>
              <w:right w:w="100" w:type="dxa"/>
            </w:tcMar>
          </w:tcPr>
          <w:p w14:paraId="38E1C3D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2.7</w:t>
            </w:r>
          </w:p>
        </w:tc>
        <w:tc>
          <w:tcPr>
            <w:tcW w:w="0" w:type="auto"/>
            <w:tcMar>
              <w:top w:w="80" w:type="dxa"/>
              <w:left w:w="100" w:type="dxa"/>
              <w:bottom w:w="80" w:type="dxa"/>
              <w:right w:w="100" w:type="dxa"/>
            </w:tcMar>
          </w:tcPr>
          <w:p w14:paraId="482340D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Giao diện, hướng dẫn</w:t>
            </w:r>
          </w:p>
        </w:tc>
        <w:tc>
          <w:tcPr>
            <w:tcW w:w="0" w:type="auto"/>
            <w:tcMar>
              <w:top w:w="80" w:type="dxa"/>
              <w:left w:w="100" w:type="dxa"/>
              <w:bottom w:w="80" w:type="dxa"/>
              <w:right w:w="100" w:type="dxa"/>
            </w:tcMar>
          </w:tcPr>
          <w:p w14:paraId="0B7B25E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Điều 16 TCVN 13078-1</w:t>
            </w:r>
          </w:p>
        </w:tc>
        <w:tc>
          <w:tcPr>
            <w:tcW w:w="0" w:type="auto"/>
            <w:tcMar>
              <w:top w:w="80" w:type="dxa"/>
              <w:left w:w="100" w:type="dxa"/>
              <w:bottom w:w="80" w:type="dxa"/>
              <w:right w:w="100" w:type="dxa"/>
            </w:tcMar>
          </w:tcPr>
          <w:p w14:paraId="0E694EA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 bổ sung tiếng Việt</w:t>
            </w:r>
          </w:p>
        </w:tc>
        <w:tc>
          <w:tcPr>
            <w:tcW w:w="0" w:type="auto"/>
            <w:tcMar>
              <w:top w:w="80" w:type="dxa"/>
              <w:left w:w="100" w:type="dxa"/>
              <w:bottom w:w="80" w:type="dxa"/>
              <w:right w:w="100" w:type="dxa"/>
            </w:tcMar>
          </w:tcPr>
          <w:p w14:paraId="78FA562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người dùng tiếp cận thông tin an toàn.</w:t>
            </w:r>
          </w:p>
        </w:tc>
      </w:tr>
      <w:tr w:rsidR="00170D17" w:rsidRPr="00170D17" w14:paraId="0209604D" w14:textId="77777777" w:rsidTr="00170D17">
        <w:trPr>
          <w:cantSplit/>
        </w:trPr>
        <w:tc>
          <w:tcPr>
            <w:tcW w:w="0" w:type="auto"/>
            <w:tcMar>
              <w:top w:w="80" w:type="dxa"/>
              <w:left w:w="100" w:type="dxa"/>
              <w:bottom w:w="80" w:type="dxa"/>
              <w:right w:w="100" w:type="dxa"/>
            </w:tcMar>
          </w:tcPr>
          <w:p w14:paraId="4BCBE64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3.1</w:t>
            </w:r>
          </w:p>
        </w:tc>
        <w:tc>
          <w:tcPr>
            <w:tcW w:w="0" w:type="auto"/>
            <w:tcMar>
              <w:top w:w="80" w:type="dxa"/>
              <w:left w:w="100" w:type="dxa"/>
              <w:bottom w:w="80" w:type="dxa"/>
              <w:right w:w="100" w:type="dxa"/>
            </w:tcMar>
          </w:tcPr>
          <w:p w14:paraId="684EDD0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Yêu cầu chung trạm</w:t>
            </w:r>
          </w:p>
        </w:tc>
        <w:tc>
          <w:tcPr>
            <w:tcW w:w="0" w:type="auto"/>
            <w:tcMar>
              <w:top w:w="80" w:type="dxa"/>
              <w:left w:w="100" w:type="dxa"/>
              <w:bottom w:w="80" w:type="dxa"/>
              <w:right w:w="100" w:type="dxa"/>
            </w:tcMar>
          </w:tcPr>
          <w:p w14:paraId="34834E0F"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điện, PCCC, xây dựng</w:t>
            </w:r>
          </w:p>
        </w:tc>
        <w:tc>
          <w:tcPr>
            <w:tcW w:w="0" w:type="auto"/>
            <w:tcMar>
              <w:top w:w="80" w:type="dxa"/>
              <w:left w:w="100" w:type="dxa"/>
              <w:bottom w:w="80" w:type="dxa"/>
              <w:right w:w="100" w:type="dxa"/>
            </w:tcMar>
          </w:tcPr>
          <w:p w14:paraId="2C56657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097FAC8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Quản lý an toàn trong toàn vòng đời.</w:t>
            </w:r>
          </w:p>
        </w:tc>
      </w:tr>
      <w:tr w:rsidR="00170D17" w:rsidRPr="00170D17" w14:paraId="6201C8B2" w14:textId="77777777" w:rsidTr="00170D17">
        <w:trPr>
          <w:cantSplit/>
        </w:trPr>
        <w:tc>
          <w:tcPr>
            <w:tcW w:w="0" w:type="auto"/>
            <w:tcMar>
              <w:top w:w="80" w:type="dxa"/>
              <w:left w:w="100" w:type="dxa"/>
              <w:bottom w:w="80" w:type="dxa"/>
              <w:right w:w="100" w:type="dxa"/>
            </w:tcMar>
          </w:tcPr>
          <w:p w14:paraId="3CC02D7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3.2.1–3.2.5</w:t>
            </w:r>
          </w:p>
        </w:tc>
        <w:tc>
          <w:tcPr>
            <w:tcW w:w="0" w:type="auto"/>
            <w:tcMar>
              <w:top w:w="80" w:type="dxa"/>
              <w:left w:w="100" w:type="dxa"/>
              <w:bottom w:w="80" w:type="dxa"/>
              <w:right w:w="100" w:type="dxa"/>
            </w:tcMar>
          </w:tcPr>
          <w:p w14:paraId="339DBAC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Vị trí, đường, ô sạc</w:t>
            </w:r>
          </w:p>
        </w:tc>
        <w:tc>
          <w:tcPr>
            <w:tcW w:w="0" w:type="auto"/>
            <w:tcMar>
              <w:top w:w="80" w:type="dxa"/>
              <w:left w:w="100" w:type="dxa"/>
              <w:bottom w:w="80" w:type="dxa"/>
              <w:right w:w="100" w:type="dxa"/>
            </w:tcMar>
          </w:tcPr>
          <w:p w14:paraId="45132EC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Quy chuẩn hạ tầng, giao thông</w:t>
            </w:r>
          </w:p>
        </w:tc>
        <w:tc>
          <w:tcPr>
            <w:tcW w:w="0" w:type="auto"/>
            <w:tcMar>
              <w:top w:w="80" w:type="dxa"/>
              <w:left w:w="100" w:type="dxa"/>
              <w:bottom w:w="80" w:type="dxa"/>
              <w:right w:w="100" w:type="dxa"/>
            </w:tcMar>
          </w:tcPr>
          <w:p w14:paraId="0BF62A8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Tham khảo, cụ thể hóa</w:t>
            </w:r>
          </w:p>
        </w:tc>
        <w:tc>
          <w:tcPr>
            <w:tcW w:w="0" w:type="auto"/>
            <w:tcMar>
              <w:top w:w="80" w:type="dxa"/>
              <w:left w:w="100" w:type="dxa"/>
              <w:bottom w:w="80" w:type="dxa"/>
              <w:right w:w="100" w:type="dxa"/>
            </w:tcMar>
          </w:tcPr>
          <w:p w14:paraId="7DCAA3F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tiếp cận, thao tác và lưu thông.</w:t>
            </w:r>
          </w:p>
        </w:tc>
      </w:tr>
      <w:tr w:rsidR="00170D17" w:rsidRPr="00170D17" w14:paraId="445A0121" w14:textId="77777777" w:rsidTr="00170D17">
        <w:trPr>
          <w:cantSplit/>
        </w:trPr>
        <w:tc>
          <w:tcPr>
            <w:tcW w:w="0" w:type="auto"/>
            <w:tcMar>
              <w:top w:w="80" w:type="dxa"/>
              <w:left w:w="100" w:type="dxa"/>
              <w:bottom w:w="80" w:type="dxa"/>
              <w:right w:w="100" w:type="dxa"/>
            </w:tcMar>
          </w:tcPr>
          <w:p w14:paraId="797D3FE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lastRenderedPageBreak/>
              <w:t>3.2.6–3.2.11</w:t>
            </w:r>
          </w:p>
        </w:tc>
        <w:tc>
          <w:tcPr>
            <w:tcW w:w="0" w:type="auto"/>
            <w:tcMar>
              <w:top w:w="80" w:type="dxa"/>
              <w:left w:w="100" w:type="dxa"/>
              <w:bottom w:w="80" w:type="dxa"/>
              <w:right w:w="100" w:type="dxa"/>
            </w:tcMar>
          </w:tcPr>
          <w:p w14:paraId="5508BE8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Cáp, nền, biển, thoát nước</w:t>
            </w:r>
          </w:p>
        </w:tc>
        <w:tc>
          <w:tcPr>
            <w:tcW w:w="0" w:type="auto"/>
            <w:tcMar>
              <w:top w:w="80" w:type="dxa"/>
              <w:left w:w="100" w:type="dxa"/>
              <w:bottom w:w="80" w:type="dxa"/>
              <w:right w:w="100" w:type="dxa"/>
            </w:tcMar>
          </w:tcPr>
          <w:p w14:paraId="4B8243F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Tiêu chuẩn lắp đặt, hạ tầng, PCCC</w:t>
            </w:r>
          </w:p>
        </w:tc>
        <w:tc>
          <w:tcPr>
            <w:tcW w:w="0" w:type="auto"/>
            <w:tcMar>
              <w:top w:w="80" w:type="dxa"/>
              <w:left w:w="100" w:type="dxa"/>
              <w:bottom w:w="80" w:type="dxa"/>
              <w:right w:w="100" w:type="dxa"/>
            </w:tcMar>
          </w:tcPr>
          <w:p w14:paraId="5F755AE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342D2E6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Hạn chế vấp ngã, va chạm, ngập và cháy nổ.</w:t>
            </w:r>
          </w:p>
        </w:tc>
      </w:tr>
      <w:tr w:rsidR="00170D17" w:rsidRPr="00170D17" w14:paraId="2099C373" w14:textId="77777777" w:rsidTr="00170D17">
        <w:trPr>
          <w:cantSplit/>
        </w:trPr>
        <w:tc>
          <w:tcPr>
            <w:tcW w:w="0" w:type="auto"/>
            <w:tcMar>
              <w:top w:w="80" w:type="dxa"/>
              <w:left w:w="100" w:type="dxa"/>
              <w:bottom w:w="80" w:type="dxa"/>
              <w:right w:w="100" w:type="dxa"/>
            </w:tcMar>
          </w:tcPr>
          <w:p w14:paraId="4BEA356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3.3</w:t>
            </w:r>
          </w:p>
        </w:tc>
        <w:tc>
          <w:tcPr>
            <w:tcW w:w="0" w:type="auto"/>
            <w:tcMar>
              <w:top w:w="80" w:type="dxa"/>
              <w:left w:w="100" w:type="dxa"/>
              <w:bottom w:w="80" w:type="dxa"/>
              <w:right w:w="100" w:type="dxa"/>
            </w:tcMar>
          </w:tcPr>
          <w:p w14:paraId="731008F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Trụ lắp trong trạm</w:t>
            </w:r>
          </w:p>
        </w:tc>
        <w:tc>
          <w:tcPr>
            <w:tcW w:w="0" w:type="auto"/>
            <w:tcMar>
              <w:top w:w="80" w:type="dxa"/>
              <w:left w:w="100" w:type="dxa"/>
              <w:bottom w:w="80" w:type="dxa"/>
              <w:right w:w="100" w:type="dxa"/>
            </w:tcMar>
          </w:tcPr>
          <w:p w14:paraId="49349CF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TCVN 13078; hướng dẫn nhà sản xuất</w:t>
            </w:r>
          </w:p>
        </w:tc>
        <w:tc>
          <w:tcPr>
            <w:tcW w:w="0" w:type="auto"/>
            <w:tcMar>
              <w:top w:w="80" w:type="dxa"/>
              <w:left w:w="100" w:type="dxa"/>
              <w:bottom w:w="80" w:type="dxa"/>
              <w:right w:w="100" w:type="dxa"/>
            </w:tcMar>
          </w:tcPr>
          <w:p w14:paraId="027649E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0EFD25A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tích hợp, móng, cáp và bảo trì.</w:t>
            </w:r>
          </w:p>
        </w:tc>
      </w:tr>
      <w:tr w:rsidR="00170D17" w:rsidRPr="00170D17" w14:paraId="7054F18D" w14:textId="77777777" w:rsidTr="00170D17">
        <w:trPr>
          <w:cantSplit/>
        </w:trPr>
        <w:tc>
          <w:tcPr>
            <w:tcW w:w="0" w:type="auto"/>
            <w:tcMar>
              <w:top w:w="80" w:type="dxa"/>
              <w:left w:w="100" w:type="dxa"/>
              <w:bottom w:w="80" w:type="dxa"/>
              <w:right w:w="100" w:type="dxa"/>
            </w:tcMar>
          </w:tcPr>
          <w:p w14:paraId="45EBC61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3.4.1–3.4.4</w:t>
            </w:r>
          </w:p>
        </w:tc>
        <w:tc>
          <w:tcPr>
            <w:tcW w:w="0" w:type="auto"/>
            <w:tcMar>
              <w:top w:w="80" w:type="dxa"/>
              <w:left w:w="100" w:type="dxa"/>
              <w:bottom w:w="80" w:type="dxa"/>
              <w:right w:w="100" w:type="dxa"/>
            </w:tcMar>
          </w:tcPr>
          <w:p w14:paraId="011BBD8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Ngắt điện khẩn cấp</w:t>
            </w:r>
          </w:p>
        </w:tc>
        <w:tc>
          <w:tcPr>
            <w:tcW w:w="0" w:type="auto"/>
            <w:tcMar>
              <w:top w:w="80" w:type="dxa"/>
              <w:left w:w="100" w:type="dxa"/>
              <w:bottom w:w="80" w:type="dxa"/>
              <w:right w:w="100" w:type="dxa"/>
            </w:tcMar>
          </w:tcPr>
          <w:p w14:paraId="20435F2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25; tiêu chuẩn an toàn điện</w:t>
            </w:r>
          </w:p>
        </w:tc>
        <w:tc>
          <w:tcPr>
            <w:tcW w:w="0" w:type="auto"/>
            <w:tcMar>
              <w:top w:w="80" w:type="dxa"/>
              <w:left w:w="100" w:type="dxa"/>
              <w:bottom w:w="80" w:type="dxa"/>
              <w:right w:w="100" w:type="dxa"/>
            </w:tcMar>
          </w:tcPr>
          <w:p w14:paraId="53A5427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Cụ thể hóa</w:t>
            </w:r>
          </w:p>
        </w:tc>
        <w:tc>
          <w:tcPr>
            <w:tcW w:w="0" w:type="auto"/>
            <w:tcMar>
              <w:top w:w="80" w:type="dxa"/>
              <w:left w:w="100" w:type="dxa"/>
              <w:bottom w:w="80" w:type="dxa"/>
              <w:right w:w="100" w:type="dxa"/>
            </w:tcMar>
          </w:tcPr>
          <w:p w14:paraId="05F3AD8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Cho phép cô lập nhanh và đóng điện có kiểm soát.</w:t>
            </w:r>
          </w:p>
        </w:tc>
      </w:tr>
      <w:tr w:rsidR="00170D17" w:rsidRPr="00170D17" w14:paraId="69698240" w14:textId="77777777" w:rsidTr="00170D17">
        <w:trPr>
          <w:cantSplit/>
        </w:trPr>
        <w:tc>
          <w:tcPr>
            <w:tcW w:w="0" w:type="auto"/>
            <w:tcMar>
              <w:top w:w="80" w:type="dxa"/>
              <w:left w:w="100" w:type="dxa"/>
              <w:bottom w:w="80" w:type="dxa"/>
              <w:right w:w="100" w:type="dxa"/>
            </w:tcMar>
          </w:tcPr>
          <w:p w14:paraId="05C3A27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3.4.5</w:t>
            </w:r>
          </w:p>
        </w:tc>
        <w:tc>
          <w:tcPr>
            <w:tcW w:w="0" w:type="auto"/>
            <w:tcMar>
              <w:top w:w="80" w:type="dxa"/>
              <w:left w:w="100" w:type="dxa"/>
              <w:bottom w:w="80" w:type="dxa"/>
              <w:right w:w="100" w:type="dxa"/>
            </w:tcMar>
          </w:tcPr>
          <w:p w14:paraId="3D3B720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Nối đất, đẳng thế</w:t>
            </w:r>
          </w:p>
        </w:tc>
        <w:tc>
          <w:tcPr>
            <w:tcW w:w="0" w:type="auto"/>
            <w:tcMar>
              <w:top w:w="80" w:type="dxa"/>
              <w:left w:w="100" w:type="dxa"/>
              <w:bottom w:w="80" w:type="dxa"/>
              <w:right w:w="100" w:type="dxa"/>
            </w:tcMar>
          </w:tcPr>
          <w:p w14:paraId="2C92AAD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25; TCVN lắp đặt điện</w:t>
            </w:r>
          </w:p>
        </w:tc>
        <w:tc>
          <w:tcPr>
            <w:tcW w:w="0" w:type="auto"/>
            <w:tcMar>
              <w:top w:w="80" w:type="dxa"/>
              <w:left w:w="100" w:type="dxa"/>
              <w:bottom w:w="80" w:type="dxa"/>
              <w:right w:w="100" w:type="dxa"/>
            </w:tcMar>
          </w:tcPr>
          <w:p w14:paraId="11B0152E"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2B2945D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Phòng ngừa điện giật và điện áp chạm.</w:t>
            </w:r>
          </w:p>
        </w:tc>
      </w:tr>
      <w:tr w:rsidR="00170D17" w:rsidRPr="00170D17" w14:paraId="7250D67F" w14:textId="77777777" w:rsidTr="00170D17">
        <w:trPr>
          <w:cantSplit/>
        </w:trPr>
        <w:tc>
          <w:tcPr>
            <w:tcW w:w="0" w:type="auto"/>
            <w:tcMar>
              <w:top w:w="80" w:type="dxa"/>
              <w:left w:w="100" w:type="dxa"/>
              <w:bottom w:w="80" w:type="dxa"/>
              <w:right w:w="100" w:type="dxa"/>
            </w:tcMar>
          </w:tcPr>
          <w:p w14:paraId="0FB6CB1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3.4.6–3.4.8</w:t>
            </w:r>
          </w:p>
        </w:tc>
        <w:tc>
          <w:tcPr>
            <w:tcW w:w="0" w:type="auto"/>
            <w:tcMar>
              <w:top w:w="80" w:type="dxa"/>
              <w:left w:w="100" w:type="dxa"/>
              <w:bottom w:w="80" w:type="dxa"/>
              <w:right w:w="100" w:type="dxa"/>
            </w:tcMar>
          </w:tcPr>
          <w:p w14:paraId="7299CBC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PCCC, cảnh báo</w:t>
            </w:r>
          </w:p>
        </w:tc>
        <w:tc>
          <w:tcPr>
            <w:tcW w:w="0" w:type="auto"/>
            <w:tcMar>
              <w:top w:w="80" w:type="dxa"/>
              <w:left w:w="100" w:type="dxa"/>
              <w:bottom w:w="80" w:type="dxa"/>
              <w:right w:w="100" w:type="dxa"/>
            </w:tcMar>
          </w:tcPr>
          <w:p w14:paraId="112C7C4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06; TCVN 3890</w:t>
            </w:r>
          </w:p>
        </w:tc>
        <w:tc>
          <w:tcPr>
            <w:tcW w:w="0" w:type="auto"/>
            <w:tcMar>
              <w:top w:w="80" w:type="dxa"/>
              <w:left w:w="100" w:type="dxa"/>
              <w:bottom w:w="80" w:type="dxa"/>
              <w:right w:w="100" w:type="dxa"/>
            </w:tcMar>
          </w:tcPr>
          <w:p w14:paraId="72A751A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17F3780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Đồng bộ phương tiện, nội quy và biển báo.</w:t>
            </w:r>
          </w:p>
        </w:tc>
      </w:tr>
      <w:tr w:rsidR="00170D17" w:rsidRPr="00170D17" w14:paraId="71DD6431" w14:textId="77777777" w:rsidTr="00170D17">
        <w:trPr>
          <w:cantSplit/>
        </w:trPr>
        <w:tc>
          <w:tcPr>
            <w:tcW w:w="0" w:type="auto"/>
            <w:tcMar>
              <w:top w:w="80" w:type="dxa"/>
              <w:left w:w="100" w:type="dxa"/>
              <w:bottom w:w="80" w:type="dxa"/>
              <w:right w:w="100" w:type="dxa"/>
            </w:tcMar>
          </w:tcPr>
          <w:p w14:paraId="2241AF3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3.4.9–3.4.10</w:t>
            </w:r>
          </w:p>
        </w:tc>
        <w:tc>
          <w:tcPr>
            <w:tcW w:w="0" w:type="auto"/>
            <w:tcMar>
              <w:top w:w="80" w:type="dxa"/>
              <w:left w:w="100" w:type="dxa"/>
              <w:bottom w:w="80" w:type="dxa"/>
              <w:right w:w="100" w:type="dxa"/>
            </w:tcMar>
          </w:tcPr>
          <w:p w14:paraId="4CEA916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Kiểm tra, dừng khai thác</w:t>
            </w:r>
          </w:p>
        </w:tc>
        <w:tc>
          <w:tcPr>
            <w:tcW w:w="0" w:type="auto"/>
            <w:tcMar>
              <w:top w:w="80" w:type="dxa"/>
              <w:left w:w="100" w:type="dxa"/>
              <w:bottom w:w="80" w:type="dxa"/>
              <w:right w:w="100" w:type="dxa"/>
            </w:tcMar>
          </w:tcPr>
          <w:p w14:paraId="5DD871B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Quy định an toàn, quản lý vận hành</w:t>
            </w:r>
          </w:p>
        </w:tc>
        <w:tc>
          <w:tcPr>
            <w:tcW w:w="0" w:type="auto"/>
            <w:tcMar>
              <w:top w:w="80" w:type="dxa"/>
              <w:left w:w="100" w:type="dxa"/>
              <w:bottom w:w="80" w:type="dxa"/>
              <w:right w:w="100" w:type="dxa"/>
            </w:tcMar>
          </w:tcPr>
          <w:p w14:paraId="538F186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33A8E81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Không đưa thiết bị nguy hiểm vào sử dụng.</w:t>
            </w:r>
          </w:p>
        </w:tc>
      </w:tr>
      <w:tr w:rsidR="00170D17" w:rsidRPr="00170D17" w14:paraId="6B92506B" w14:textId="77777777" w:rsidTr="00170D17">
        <w:trPr>
          <w:cantSplit/>
        </w:trPr>
        <w:tc>
          <w:tcPr>
            <w:tcW w:w="0" w:type="auto"/>
            <w:tcMar>
              <w:top w:w="80" w:type="dxa"/>
              <w:left w:w="100" w:type="dxa"/>
              <w:bottom w:w="80" w:type="dxa"/>
              <w:right w:w="100" w:type="dxa"/>
            </w:tcMar>
          </w:tcPr>
          <w:p w14:paraId="5559ACD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3.5.1</w:t>
            </w:r>
          </w:p>
        </w:tc>
        <w:tc>
          <w:tcPr>
            <w:tcW w:w="0" w:type="auto"/>
            <w:tcMar>
              <w:top w:w="80" w:type="dxa"/>
              <w:left w:w="100" w:type="dxa"/>
              <w:bottom w:w="80" w:type="dxa"/>
              <w:right w:w="100" w:type="dxa"/>
            </w:tcMar>
          </w:tcPr>
          <w:p w14:paraId="6C4812C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Hệ thống cấp điện</w:t>
            </w:r>
          </w:p>
        </w:tc>
        <w:tc>
          <w:tcPr>
            <w:tcW w:w="0" w:type="auto"/>
            <w:tcMar>
              <w:top w:w="80" w:type="dxa"/>
              <w:left w:w="100" w:type="dxa"/>
              <w:bottom w:w="80" w:type="dxa"/>
              <w:right w:w="100" w:type="dxa"/>
            </w:tcMar>
          </w:tcPr>
          <w:p w14:paraId="2404A33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25, QCVN 26; TCVN 7447-7-722</w:t>
            </w:r>
          </w:p>
        </w:tc>
        <w:tc>
          <w:tcPr>
            <w:tcW w:w="0" w:type="auto"/>
            <w:tcMar>
              <w:top w:w="80" w:type="dxa"/>
              <w:left w:w="100" w:type="dxa"/>
              <w:bottom w:w="80" w:type="dxa"/>
              <w:right w:w="100" w:type="dxa"/>
            </w:tcMar>
          </w:tcPr>
          <w:p w14:paraId="60F5A5C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 cụ thể hóa</w:t>
            </w:r>
          </w:p>
        </w:tc>
        <w:tc>
          <w:tcPr>
            <w:tcW w:w="0" w:type="auto"/>
            <w:tcMar>
              <w:top w:w="80" w:type="dxa"/>
              <w:left w:w="100" w:type="dxa"/>
              <w:bottom w:w="80" w:type="dxa"/>
              <w:right w:w="100" w:type="dxa"/>
            </w:tcMar>
          </w:tcPr>
          <w:p w14:paraId="4AE5C3B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Tính phụ tải, IP, cáp và khả năng mở rộng.</w:t>
            </w:r>
          </w:p>
        </w:tc>
      </w:tr>
      <w:tr w:rsidR="00170D17" w:rsidRPr="00170D17" w14:paraId="3A594260" w14:textId="77777777" w:rsidTr="00170D17">
        <w:trPr>
          <w:cantSplit/>
        </w:trPr>
        <w:tc>
          <w:tcPr>
            <w:tcW w:w="0" w:type="auto"/>
            <w:tcMar>
              <w:top w:w="80" w:type="dxa"/>
              <w:left w:w="100" w:type="dxa"/>
              <w:bottom w:w="80" w:type="dxa"/>
              <w:right w:w="100" w:type="dxa"/>
            </w:tcMar>
          </w:tcPr>
          <w:p w14:paraId="67240C4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3.5.2</w:t>
            </w:r>
          </w:p>
        </w:tc>
        <w:tc>
          <w:tcPr>
            <w:tcW w:w="0" w:type="auto"/>
            <w:tcMar>
              <w:top w:w="80" w:type="dxa"/>
              <w:left w:w="100" w:type="dxa"/>
              <w:bottom w:w="80" w:type="dxa"/>
              <w:right w:w="100" w:type="dxa"/>
            </w:tcMar>
          </w:tcPr>
          <w:p w14:paraId="6CF735B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Đấu nối, PCC</w:t>
            </w:r>
          </w:p>
        </w:tc>
        <w:tc>
          <w:tcPr>
            <w:tcW w:w="0" w:type="auto"/>
            <w:tcMar>
              <w:top w:w="80" w:type="dxa"/>
              <w:left w:w="100" w:type="dxa"/>
              <w:bottom w:w="80" w:type="dxa"/>
              <w:right w:w="100" w:type="dxa"/>
            </w:tcMar>
          </w:tcPr>
          <w:p w14:paraId="62D3887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26; pháp luật điện lực</w:t>
            </w:r>
          </w:p>
        </w:tc>
        <w:tc>
          <w:tcPr>
            <w:tcW w:w="0" w:type="auto"/>
            <w:tcMar>
              <w:top w:w="80" w:type="dxa"/>
              <w:left w:w="100" w:type="dxa"/>
              <w:bottom w:w="80" w:type="dxa"/>
              <w:right w:w="100" w:type="dxa"/>
            </w:tcMar>
          </w:tcPr>
          <w:p w14:paraId="6827FE7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61594FD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thỏa thuận, nghiệm thu và cô lập nguồn.</w:t>
            </w:r>
          </w:p>
        </w:tc>
      </w:tr>
      <w:tr w:rsidR="00170D17" w:rsidRPr="00170D17" w14:paraId="5A7A3A38" w14:textId="77777777" w:rsidTr="00170D17">
        <w:trPr>
          <w:cantSplit/>
        </w:trPr>
        <w:tc>
          <w:tcPr>
            <w:tcW w:w="0" w:type="auto"/>
            <w:tcMar>
              <w:top w:w="80" w:type="dxa"/>
              <w:left w:w="100" w:type="dxa"/>
              <w:bottom w:w="80" w:type="dxa"/>
              <w:right w:w="100" w:type="dxa"/>
            </w:tcMar>
          </w:tcPr>
          <w:p w14:paraId="0D54311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3.5.3</w:t>
            </w:r>
          </w:p>
        </w:tc>
        <w:tc>
          <w:tcPr>
            <w:tcW w:w="0" w:type="auto"/>
            <w:tcMar>
              <w:top w:w="80" w:type="dxa"/>
              <w:left w:w="100" w:type="dxa"/>
              <w:bottom w:w="80" w:type="dxa"/>
              <w:right w:w="100" w:type="dxa"/>
            </w:tcMar>
          </w:tcPr>
          <w:p w14:paraId="71EC45D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Chất lượng điện</w:t>
            </w:r>
          </w:p>
        </w:tc>
        <w:tc>
          <w:tcPr>
            <w:tcW w:w="0" w:type="auto"/>
            <w:tcMar>
              <w:top w:w="80" w:type="dxa"/>
              <w:left w:w="100" w:type="dxa"/>
              <w:bottom w:w="80" w:type="dxa"/>
              <w:right w:w="100" w:type="dxa"/>
            </w:tcMar>
          </w:tcPr>
          <w:p w14:paraId="104097C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QCVN 26</w:t>
            </w:r>
          </w:p>
        </w:tc>
        <w:tc>
          <w:tcPr>
            <w:tcW w:w="0" w:type="auto"/>
            <w:tcMar>
              <w:top w:w="80" w:type="dxa"/>
              <w:left w:w="100" w:type="dxa"/>
              <w:bottom w:w="80" w:type="dxa"/>
              <w:right w:w="100" w:type="dxa"/>
            </w:tcMar>
          </w:tcPr>
          <w:p w14:paraId="190AC61F"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 định lượng</w:t>
            </w:r>
          </w:p>
        </w:tc>
        <w:tc>
          <w:tcPr>
            <w:tcW w:w="0" w:type="auto"/>
            <w:tcMar>
              <w:top w:w="80" w:type="dxa"/>
              <w:left w:w="100" w:type="dxa"/>
              <w:bottom w:w="80" w:type="dxa"/>
              <w:right w:w="100" w:type="dxa"/>
            </w:tcMar>
          </w:tcPr>
          <w:p w14:paraId="4D5F422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Kiểm soát sóng hài, PF, flicker, mất cân bằng.</w:t>
            </w:r>
          </w:p>
        </w:tc>
      </w:tr>
      <w:tr w:rsidR="00170D17" w:rsidRPr="00170D17" w14:paraId="5A5BF978" w14:textId="77777777" w:rsidTr="00170D17">
        <w:trPr>
          <w:cantSplit/>
        </w:trPr>
        <w:tc>
          <w:tcPr>
            <w:tcW w:w="0" w:type="auto"/>
            <w:tcMar>
              <w:top w:w="80" w:type="dxa"/>
              <w:left w:w="100" w:type="dxa"/>
              <w:bottom w:w="80" w:type="dxa"/>
              <w:right w:w="100" w:type="dxa"/>
            </w:tcMar>
          </w:tcPr>
          <w:p w14:paraId="1E1864F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3.5.3</w:t>
            </w:r>
          </w:p>
        </w:tc>
        <w:tc>
          <w:tcPr>
            <w:tcW w:w="0" w:type="auto"/>
            <w:tcMar>
              <w:top w:w="80" w:type="dxa"/>
              <w:left w:w="100" w:type="dxa"/>
              <w:bottom w:w="80" w:type="dxa"/>
              <w:right w:w="100" w:type="dxa"/>
            </w:tcMar>
          </w:tcPr>
          <w:p w14:paraId="28E528E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RCD, RDC-DD, SPD</w:t>
            </w:r>
          </w:p>
        </w:tc>
        <w:tc>
          <w:tcPr>
            <w:tcW w:w="0" w:type="auto"/>
            <w:tcMar>
              <w:top w:w="80" w:type="dxa"/>
              <w:left w:w="100" w:type="dxa"/>
              <w:bottom w:w="80" w:type="dxa"/>
              <w:right w:w="100" w:type="dxa"/>
            </w:tcMar>
          </w:tcPr>
          <w:p w14:paraId="7A5FC87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IEC 62423, IEC 62955; tiêu chuẩn SPD</w:t>
            </w:r>
          </w:p>
        </w:tc>
        <w:tc>
          <w:tcPr>
            <w:tcW w:w="0" w:type="auto"/>
            <w:tcMar>
              <w:top w:w="80" w:type="dxa"/>
              <w:left w:w="100" w:type="dxa"/>
              <w:bottom w:w="80" w:type="dxa"/>
              <w:right w:w="100" w:type="dxa"/>
            </w:tcMar>
          </w:tcPr>
          <w:p w14:paraId="479B4CAF"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2BD9B75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vệ dòng rò và xung quá điện áp.</w:t>
            </w:r>
          </w:p>
        </w:tc>
      </w:tr>
      <w:tr w:rsidR="00170D17" w:rsidRPr="00170D17" w14:paraId="636AE106" w14:textId="77777777" w:rsidTr="00170D17">
        <w:trPr>
          <w:cantSplit/>
        </w:trPr>
        <w:tc>
          <w:tcPr>
            <w:tcW w:w="0" w:type="auto"/>
            <w:tcMar>
              <w:top w:w="80" w:type="dxa"/>
              <w:left w:w="100" w:type="dxa"/>
              <w:bottom w:w="80" w:type="dxa"/>
              <w:right w:w="100" w:type="dxa"/>
            </w:tcMar>
          </w:tcPr>
          <w:p w14:paraId="157E618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3.5.4</w:t>
            </w:r>
          </w:p>
        </w:tc>
        <w:tc>
          <w:tcPr>
            <w:tcW w:w="0" w:type="auto"/>
            <w:tcMar>
              <w:top w:w="80" w:type="dxa"/>
              <w:left w:w="100" w:type="dxa"/>
              <w:bottom w:w="80" w:type="dxa"/>
              <w:right w:w="100" w:type="dxa"/>
            </w:tcMar>
          </w:tcPr>
          <w:p w14:paraId="2C6FAE2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Đo đếm</w:t>
            </w:r>
          </w:p>
        </w:tc>
        <w:tc>
          <w:tcPr>
            <w:tcW w:w="0" w:type="auto"/>
            <w:tcMar>
              <w:top w:w="80" w:type="dxa"/>
              <w:left w:w="100" w:type="dxa"/>
              <w:bottom w:w="80" w:type="dxa"/>
              <w:right w:w="100" w:type="dxa"/>
            </w:tcMar>
          </w:tcPr>
          <w:p w14:paraId="5379575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TT 03/2024; pháp luật đo lường, điện lực</w:t>
            </w:r>
          </w:p>
        </w:tc>
        <w:tc>
          <w:tcPr>
            <w:tcW w:w="0" w:type="auto"/>
            <w:tcMar>
              <w:top w:w="80" w:type="dxa"/>
              <w:left w:w="100" w:type="dxa"/>
              <w:bottom w:w="80" w:type="dxa"/>
              <w:right w:w="100" w:type="dxa"/>
            </w:tcMar>
          </w:tcPr>
          <w:p w14:paraId="7118E63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6344D9F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Minh bạch điện năng và giao dịch.</w:t>
            </w:r>
          </w:p>
        </w:tc>
      </w:tr>
      <w:tr w:rsidR="00170D17" w:rsidRPr="00170D17" w14:paraId="46707844" w14:textId="77777777" w:rsidTr="00170D17">
        <w:trPr>
          <w:cantSplit/>
        </w:trPr>
        <w:tc>
          <w:tcPr>
            <w:tcW w:w="0" w:type="auto"/>
            <w:tcMar>
              <w:top w:w="80" w:type="dxa"/>
              <w:left w:w="100" w:type="dxa"/>
              <w:bottom w:w="80" w:type="dxa"/>
              <w:right w:w="100" w:type="dxa"/>
            </w:tcMar>
          </w:tcPr>
          <w:p w14:paraId="16478C8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3.5.5</w:t>
            </w:r>
          </w:p>
        </w:tc>
        <w:tc>
          <w:tcPr>
            <w:tcW w:w="0" w:type="auto"/>
            <w:tcMar>
              <w:top w:w="80" w:type="dxa"/>
              <w:left w:w="100" w:type="dxa"/>
              <w:bottom w:w="80" w:type="dxa"/>
              <w:right w:w="100" w:type="dxa"/>
            </w:tcMar>
          </w:tcPr>
          <w:p w14:paraId="51E6FFB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Quản lý phụ tải</w:t>
            </w:r>
          </w:p>
        </w:tc>
        <w:tc>
          <w:tcPr>
            <w:tcW w:w="0" w:type="auto"/>
            <w:tcMar>
              <w:top w:w="80" w:type="dxa"/>
              <w:left w:w="100" w:type="dxa"/>
              <w:bottom w:w="80" w:type="dxa"/>
              <w:right w:w="100" w:type="dxa"/>
            </w:tcMar>
          </w:tcPr>
          <w:p w14:paraId="25ED062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Quy định điều độ, vận hành</w:t>
            </w:r>
          </w:p>
        </w:tc>
        <w:tc>
          <w:tcPr>
            <w:tcW w:w="0" w:type="auto"/>
            <w:tcMar>
              <w:top w:w="80" w:type="dxa"/>
              <w:left w:w="100" w:type="dxa"/>
              <w:bottom w:w="80" w:type="dxa"/>
              <w:right w:w="100" w:type="dxa"/>
            </w:tcMar>
          </w:tcPr>
          <w:p w14:paraId="11126EA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Cụ thể hóa</w:t>
            </w:r>
          </w:p>
        </w:tc>
        <w:tc>
          <w:tcPr>
            <w:tcW w:w="0" w:type="auto"/>
            <w:tcMar>
              <w:top w:w="80" w:type="dxa"/>
              <w:left w:w="100" w:type="dxa"/>
              <w:bottom w:w="80" w:type="dxa"/>
              <w:right w:w="100" w:type="dxa"/>
            </w:tcMar>
          </w:tcPr>
          <w:p w14:paraId="0B2C882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Hạn chế vượt công suất và hỗ trợ hệ thống điện.</w:t>
            </w:r>
          </w:p>
        </w:tc>
      </w:tr>
      <w:tr w:rsidR="00170D17" w:rsidRPr="00170D17" w14:paraId="10E974C0" w14:textId="77777777" w:rsidTr="00170D17">
        <w:trPr>
          <w:cantSplit/>
        </w:trPr>
        <w:tc>
          <w:tcPr>
            <w:tcW w:w="0" w:type="auto"/>
            <w:tcMar>
              <w:top w:w="80" w:type="dxa"/>
              <w:left w:w="100" w:type="dxa"/>
              <w:bottom w:w="80" w:type="dxa"/>
              <w:right w:w="100" w:type="dxa"/>
            </w:tcMar>
          </w:tcPr>
          <w:p w14:paraId="63C2ADB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3.6.1–3.6.4</w:t>
            </w:r>
          </w:p>
        </w:tc>
        <w:tc>
          <w:tcPr>
            <w:tcW w:w="0" w:type="auto"/>
            <w:tcMar>
              <w:top w:w="80" w:type="dxa"/>
              <w:left w:w="100" w:type="dxa"/>
              <w:bottom w:w="80" w:type="dxa"/>
              <w:right w:w="100" w:type="dxa"/>
            </w:tcMar>
          </w:tcPr>
          <w:p w14:paraId="3E8ECCE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Giám sát sạc, cấp điện</w:t>
            </w:r>
          </w:p>
        </w:tc>
        <w:tc>
          <w:tcPr>
            <w:tcW w:w="0" w:type="auto"/>
            <w:tcMar>
              <w:top w:w="80" w:type="dxa"/>
              <w:left w:w="100" w:type="dxa"/>
              <w:bottom w:w="80" w:type="dxa"/>
              <w:right w:w="100" w:type="dxa"/>
            </w:tcMar>
          </w:tcPr>
          <w:p w14:paraId="07576CB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Tiêu chuẩn tự động hóa, điện lực</w:t>
            </w:r>
          </w:p>
        </w:tc>
        <w:tc>
          <w:tcPr>
            <w:tcW w:w="0" w:type="auto"/>
            <w:tcMar>
              <w:top w:w="80" w:type="dxa"/>
              <w:left w:w="100" w:type="dxa"/>
              <w:bottom w:w="80" w:type="dxa"/>
              <w:right w:w="100" w:type="dxa"/>
            </w:tcMar>
          </w:tcPr>
          <w:p w14:paraId="3FF2AE8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Tham khảo, tổng hợp</w:t>
            </w:r>
          </w:p>
        </w:tc>
        <w:tc>
          <w:tcPr>
            <w:tcW w:w="0" w:type="auto"/>
            <w:tcMar>
              <w:top w:w="80" w:type="dxa"/>
              <w:left w:w="100" w:type="dxa"/>
              <w:bottom w:w="80" w:type="dxa"/>
              <w:right w:w="100" w:type="dxa"/>
            </w:tcMar>
          </w:tcPr>
          <w:p w14:paraId="5C1E492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Thu thập trạng thái, cảnh báo và điều khiển.</w:t>
            </w:r>
          </w:p>
        </w:tc>
      </w:tr>
      <w:tr w:rsidR="00170D17" w:rsidRPr="00170D17" w14:paraId="261F86B7" w14:textId="77777777" w:rsidTr="00170D17">
        <w:trPr>
          <w:cantSplit/>
        </w:trPr>
        <w:tc>
          <w:tcPr>
            <w:tcW w:w="0" w:type="auto"/>
            <w:tcMar>
              <w:top w:w="80" w:type="dxa"/>
              <w:left w:w="100" w:type="dxa"/>
              <w:bottom w:w="80" w:type="dxa"/>
              <w:right w:w="100" w:type="dxa"/>
            </w:tcMar>
          </w:tcPr>
          <w:p w14:paraId="6730AED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3.6.5–3.6.6</w:t>
            </w:r>
          </w:p>
        </w:tc>
        <w:tc>
          <w:tcPr>
            <w:tcW w:w="0" w:type="auto"/>
            <w:tcMar>
              <w:top w:w="80" w:type="dxa"/>
              <w:left w:w="100" w:type="dxa"/>
              <w:bottom w:w="80" w:type="dxa"/>
              <w:right w:w="100" w:type="dxa"/>
            </w:tcMar>
          </w:tcPr>
          <w:p w14:paraId="51B00D5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An ninh, truyền thông</w:t>
            </w:r>
          </w:p>
        </w:tc>
        <w:tc>
          <w:tcPr>
            <w:tcW w:w="0" w:type="auto"/>
            <w:tcMar>
              <w:top w:w="80" w:type="dxa"/>
              <w:left w:w="100" w:type="dxa"/>
              <w:bottom w:w="80" w:type="dxa"/>
              <w:right w:w="100" w:type="dxa"/>
            </w:tcMar>
          </w:tcPr>
          <w:p w14:paraId="69FD05B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Pháp luật ATTT; tiêu chuẩn truyền thông</w:t>
            </w:r>
          </w:p>
        </w:tc>
        <w:tc>
          <w:tcPr>
            <w:tcW w:w="0" w:type="auto"/>
            <w:tcMar>
              <w:top w:w="80" w:type="dxa"/>
              <w:left w:w="100" w:type="dxa"/>
              <w:bottom w:w="80" w:type="dxa"/>
              <w:right w:w="100" w:type="dxa"/>
            </w:tcMar>
          </w:tcPr>
          <w:p w14:paraId="2AD13D6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382CB4C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Hỗ trợ vận hành và kết nối hợp pháp.</w:t>
            </w:r>
          </w:p>
        </w:tc>
      </w:tr>
      <w:tr w:rsidR="00170D17" w:rsidRPr="00170D17" w14:paraId="2911A04B" w14:textId="77777777" w:rsidTr="00170D17">
        <w:trPr>
          <w:cantSplit/>
        </w:trPr>
        <w:tc>
          <w:tcPr>
            <w:tcW w:w="0" w:type="auto"/>
            <w:tcMar>
              <w:top w:w="80" w:type="dxa"/>
              <w:left w:w="100" w:type="dxa"/>
              <w:bottom w:w="80" w:type="dxa"/>
              <w:right w:w="100" w:type="dxa"/>
            </w:tcMar>
          </w:tcPr>
          <w:p w14:paraId="227FE73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lastRenderedPageBreak/>
              <w:t>3.6.7</w:t>
            </w:r>
          </w:p>
        </w:tc>
        <w:tc>
          <w:tcPr>
            <w:tcW w:w="0" w:type="auto"/>
            <w:tcMar>
              <w:top w:w="80" w:type="dxa"/>
              <w:left w:w="100" w:type="dxa"/>
              <w:bottom w:w="80" w:type="dxa"/>
              <w:right w:w="100" w:type="dxa"/>
            </w:tcMar>
          </w:tcPr>
          <w:p w14:paraId="1FD5B618"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Thời gian, dữ liệu</w:t>
            </w:r>
          </w:p>
        </w:tc>
        <w:tc>
          <w:tcPr>
            <w:tcW w:w="0" w:type="auto"/>
            <w:tcMar>
              <w:top w:w="80" w:type="dxa"/>
              <w:left w:w="100" w:type="dxa"/>
              <w:bottom w:w="80" w:type="dxa"/>
              <w:right w:w="100" w:type="dxa"/>
            </w:tcMar>
          </w:tcPr>
          <w:p w14:paraId="64B7886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Pháp luật dữ liệu, giao dịch điện tử</w:t>
            </w:r>
          </w:p>
        </w:tc>
        <w:tc>
          <w:tcPr>
            <w:tcW w:w="0" w:type="auto"/>
            <w:tcMar>
              <w:top w:w="80" w:type="dxa"/>
              <w:left w:w="100" w:type="dxa"/>
              <w:bottom w:w="80" w:type="dxa"/>
              <w:right w:w="100" w:type="dxa"/>
            </w:tcMar>
          </w:tcPr>
          <w:p w14:paraId="6FF83DB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21648A1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nhật ký, truy xuất và chống sửa đổi.</w:t>
            </w:r>
          </w:p>
        </w:tc>
      </w:tr>
      <w:tr w:rsidR="00170D17" w:rsidRPr="00170D17" w14:paraId="0D63C2D5" w14:textId="77777777" w:rsidTr="00170D17">
        <w:trPr>
          <w:cantSplit/>
        </w:trPr>
        <w:tc>
          <w:tcPr>
            <w:tcW w:w="0" w:type="auto"/>
            <w:tcMar>
              <w:top w:w="80" w:type="dxa"/>
              <w:left w:w="100" w:type="dxa"/>
              <w:bottom w:w="80" w:type="dxa"/>
              <w:right w:w="100" w:type="dxa"/>
            </w:tcMar>
          </w:tcPr>
          <w:p w14:paraId="243F293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3.6.8</w:t>
            </w:r>
          </w:p>
        </w:tc>
        <w:tc>
          <w:tcPr>
            <w:tcW w:w="0" w:type="auto"/>
            <w:tcMar>
              <w:top w:w="80" w:type="dxa"/>
              <w:left w:w="100" w:type="dxa"/>
              <w:bottom w:w="80" w:type="dxa"/>
              <w:right w:w="100" w:type="dxa"/>
            </w:tcMar>
          </w:tcPr>
          <w:p w14:paraId="261D509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Năng lượng tái tạo, BESS</w:t>
            </w:r>
          </w:p>
        </w:tc>
        <w:tc>
          <w:tcPr>
            <w:tcW w:w="0" w:type="auto"/>
            <w:tcMar>
              <w:top w:w="80" w:type="dxa"/>
              <w:left w:w="100" w:type="dxa"/>
              <w:bottom w:w="80" w:type="dxa"/>
              <w:right w:w="100" w:type="dxa"/>
            </w:tcMar>
          </w:tcPr>
          <w:p w14:paraId="4DA9856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Quy định đấu nối nguồn phân tán</w:t>
            </w:r>
          </w:p>
        </w:tc>
        <w:tc>
          <w:tcPr>
            <w:tcW w:w="0" w:type="auto"/>
            <w:tcMar>
              <w:top w:w="80" w:type="dxa"/>
              <w:left w:w="100" w:type="dxa"/>
              <w:bottom w:w="80" w:type="dxa"/>
              <w:right w:w="100" w:type="dxa"/>
            </w:tcMar>
          </w:tcPr>
          <w:p w14:paraId="7B6E898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 khuyến khích</w:t>
            </w:r>
          </w:p>
        </w:tc>
        <w:tc>
          <w:tcPr>
            <w:tcW w:w="0" w:type="auto"/>
            <w:tcMar>
              <w:top w:w="80" w:type="dxa"/>
              <w:left w:w="100" w:type="dxa"/>
              <w:bottom w:w="80" w:type="dxa"/>
              <w:right w:w="100" w:type="dxa"/>
            </w:tcMar>
          </w:tcPr>
          <w:p w14:paraId="5A9E7E6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Phối hợp bảo vệ và chống phát ngược.</w:t>
            </w:r>
          </w:p>
        </w:tc>
      </w:tr>
      <w:tr w:rsidR="00170D17" w:rsidRPr="00170D17" w14:paraId="659A8825" w14:textId="77777777" w:rsidTr="00170D17">
        <w:trPr>
          <w:cantSplit/>
        </w:trPr>
        <w:tc>
          <w:tcPr>
            <w:tcW w:w="0" w:type="auto"/>
            <w:tcMar>
              <w:top w:w="80" w:type="dxa"/>
              <w:left w:w="100" w:type="dxa"/>
              <w:bottom w:w="80" w:type="dxa"/>
              <w:right w:w="100" w:type="dxa"/>
            </w:tcMar>
          </w:tcPr>
          <w:p w14:paraId="47362C9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3.6.9</w:t>
            </w:r>
          </w:p>
        </w:tc>
        <w:tc>
          <w:tcPr>
            <w:tcW w:w="0" w:type="auto"/>
            <w:tcMar>
              <w:top w:w="80" w:type="dxa"/>
              <w:left w:w="100" w:type="dxa"/>
              <w:bottom w:w="80" w:type="dxa"/>
              <w:right w:w="100" w:type="dxa"/>
            </w:tcMar>
          </w:tcPr>
          <w:p w14:paraId="0458593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Thông tin người dùng</w:t>
            </w:r>
          </w:p>
        </w:tc>
        <w:tc>
          <w:tcPr>
            <w:tcW w:w="0" w:type="auto"/>
            <w:tcMar>
              <w:top w:w="80" w:type="dxa"/>
              <w:left w:w="100" w:type="dxa"/>
              <w:bottom w:w="80" w:type="dxa"/>
              <w:right w:w="100" w:type="dxa"/>
            </w:tcMar>
          </w:tcPr>
          <w:p w14:paraId="4C63891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Đo lường; bảo vệ người tiêu dùng</w:t>
            </w:r>
          </w:p>
        </w:tc>
        <w:tc>
          <w:tcPr>
            <w:tcW w:w="0" w:type="auto"/>
            <w:tcMar>
              <w:top w:w="80" w:type="dxa"/>
              <w:left w:w="100" w:type="dxa"/>
              <w:bottom w:w="80" w:type="dxa"/>
              <w:right w:w="100" w:type="dxa"/>
            </w:tcMar>
          </w:tcPr>
          <w:p w14:paraId="218E353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679BF88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Công khai trạng thái, giá, điện năng, hỗ trợ.</w:t>
            </w:r>
          </w:p>
        </w:tc>
      </w:tr>
      <w:tr w:rsidR="00170D17" w:rsidRPr="00170D17" w14:paraId="6382D2D5" w14:textId="77777777" w:rsidTr="00170D17">
        <w:trPr>
          <w:cantSplit/>
        </w:trPr>
        <w:tc>
          <w:tcPr>
            <w:tcW w:w="0" w:type="auto"/>
            <w:tcMar>
              <w:top w:w="80" w:type="dxa"/>
              <w:left w:w="100" w:type="dxa"/>
              <w:bottom w:w="80" w:type="dxa"/>
              <w:right w:w="100" w:type="dxa"/>
            </w:tcMar>
          </w:tcPr>
          <w:p w14:paraId="7465CE4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4.1</w:t>
            </w:r>
          </w:p>
        </w:tc>
        <w:tc>
          <w:tcPr>
            <w:tcW w:w="0" w:type="auto"/>
            <w:tcMar>
              <w:top w:w="80" w:type="dxa"/>
              <w:left w:w="100" w:type="dxa"/>
              <w:bottom w:w="80" w:type="dxa"/>
              <w:right w:w="100" w:type="dxa"/>
            </w:tcMar>
          </w:tcPr>
          <w:p w14:paraId="00A6732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Hợp quy trụ sạc</w:t>
            </w:r>
          </w:p>
        </w:tc>
        <w:tc>
          <w:tcPr>
            <w:tcW w:w="0" w:type="auto"/>
            <w:tcMar>
              <w:top w:w="80" w:type="dxa"/>
              <w:left w:w="100" w:type="dxa"/>
              <w:bottom w:w="80" w:type="dxa"/>
              <w:right w:w="100" w:type="dxa"/>
            </w:tcMar>
          </w:tcPr>
          <w:p w14:paraId="0C9C431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Luật TC&amp;QCKT; TT 14/2026</w:t>
            </w:r>
          </w:p>
        </w:tc>
        <w:tc>
          <w:tcPr>
            <w:tcW w:w="0" w:type="auto"/>
            <w:tcMar>
              <w:top w:w="80" w:type="dxa"/>
              <w:left w:w="100" w:type="dxa"/>
              <w:bottom w:w="80" w:type="dxa"/>
              <w:right w:w="100" w:type="dxa"/>
            </w:tcMar>
          </w:tcPr>
          <w:p w14:paraId="61C5708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6E7A43A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Quản lý sản phẩm trước lưu thông.</w:t>
            </w:r>
          </w:p>
        </w:tc>
      </w:tr>
      <w:tr w:rsidR="00170D17" w:rsidRPr="00170D17" w14:paraId="4A361421" w14:textId="77777777" w:rsidTr="00170D17">
        <w:trPr>
          <w:cantSplit/>
        </w:trPr>
        <w:tc>
          <w:tcPr>
            <w:tcW w:w="0" w:type="auto"/>
            <w:tcMar>
              <w:top w:w="80" w:type="dxa"/>
              <w:left w:w="100" w:type="dxa"/>
              <w:bottom w:w="80" w:type="dxa"/>
              <w:right w:w="100" w:type="dxa"/>
            </w:tcMar>
          </w:tcPr>
          <w:p w14:paraId="2CDF1BCF"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4.2–4.3</w:t>
            </w:r>
          </w:p>
        </w:tc>
        <w:tc>
          <w:tcPr>
            <w:tcW w:w="0" w:type="auto"/>
            <w:tcMar>
              <w:top w:w="80" w:type="dxa"/>
              <w:left w:w="100" w:type="dxa"/>
              <w:bottom w:w="80" w:type="dxa"/>
              <w:right w:w="100" w:type="dxa"/>
            </w:tcMar>
          </w:tcPr>
          <w:p w14:paraId="063A934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Thử nghiệm, thừa nhận</w:t>
            </w:r>
          </w:p>
        </w:tc>
        <w:tc>
          <w:tcPr>
            <w:tcW w:w="0" w:type="auto"/>
            <w:tcMar>
              <w:top w:w="80" w:type="dxa"/>
              <w:left w:w="100" w:type="dxa"/>
              <w:bottom w:w="80" w:type="dxa"/>
              <w:right w:w="100" w:type="dxa"/>
            </w:tcMar>
          </w:tcPr>
          <w:p w14:paraId="1031557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ISO/IEC 17025, 17065; TT 27/2007</w:t>
            </w:r>
          </w:p>
        </w:tc>
        <w:tc>
          <w:tcPr>
            <w:tcW w:w="0" w:type="auto"/>
            <w:tcMar>
              <w:top w:w="80" w:type="dxa"/>
              <w:left w:w="100" w:type="dxa"/>
              <w:bottom w:w="80" w:type="dxa"/>
              <w:right w:w="100" w:type="dxa"/>
            </w:tcMar>
          </w:tcPr>
          <w:p w14:paraId="4FA8E9C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Viện dẫn</w:t>
            </w:r>
          </w:p>
        </w:tc>
        <w:tc>
          <w:tcPr>
            <w:tcW w:w="0" w:type="auto"/>
            <w:tcMar>
              <w:top w:w="80" w:type="dxa"/>
              <w:left w:w="100" w:type="dxa"/>
              <w:bottom w:w="80" w:type="dxa"/>
              <w:right w:w="100" w:type="dxa"/>
            </w:tcMar>
          </w:tcPr>
          <w:p w14:paraId="1E1C996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năng lực và giảm thử nghiệm lặp.</w:t>
            </w:r>
          </w:p>
        </w:tc>
      </w:tr>
      <w:tr w:rsidR="00170D17" w:rsidRPr="00170D17" w14:paraId="6F3D0BBE" w14:textId="77777777" w:rsidTr="00170D17">
        <w:trPr>
          <w:cantSplit/>
        </w:trPr>
        <w:tc>
          <w:tcPr>
            <w:tcW w:w="0" w:type="auto"/>
            <w:tcMar>
              <w:top w:w="80" w:type="dxa"/>
              <w:left w:w="100" w:type="dxa"/>
              <w:bottom w:w="80" w:type="dxa"/>
              <w:right w:w="100" w:type="dxa"/>
            </w:tcMar>
          </w:tcPr>
          <w:p w14:paraId="17AF1EA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4.4–4.5</w:t>
            </w:r>
          </w:p>
        </w:tc>
        <w:tc>
          <w:tcPr>
            <w:tcW w:w="0" w:type="auto"/>
            <w:tcMar>
              <w:top w:w="80" w:type="dxa"/>
              <w:left w:w="100" w:type="dxa"/>
              <w:bottom w:w="80" w:type="dxa"/>
              <w:right w:w="100" w:type="dxa"/>
            </w:tcMar>
          </w:tcPr>
          <w:p w14:paraId="3438301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Hồ sơ, điều kiện vận hành</w:t>
            </w:r>
          </w:p>
        </w:tc>
        <w:tc>
          <w:tcPr>
            <w:tcW w:w="0" w:type="auto"/>
            <w:tcMar>
              <w:top w:w="80" w:type="dxa"/>
              <w:left w:w="100" w:type="dxa"/>
              <w:bottom w:w="80" w:type="dxa"/>
              <w:right w:w="100" w:type="dxa"/>
            </w:tcMar>
          </w:tcPr>
          <w:p w14:paraId="6A9964A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Điện lực, PCCC, đo lường</w:t>
            </w:r>
          </w:p>
        </w:tc>
        <w:tc>
          <w:tcPr>
            <w:tcW w:w="0" w:type="auto"/>
            <w:tcMar>
              <w:top w:w="80" w:type="dxa"/>
              <w:left w:w="100" w:type="dxa"/>
              <w:bottom w:w="80" w:type="dxa"/>
              <w:right w:w="100" w:type="dxa"/>
            </w:tcMar>
          </w:tcPr>
          <w:p w14:paraId="19B832E4"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4A8519D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Quản lý chất lượng trạm sau lắp đặt.</w:t>
            </w:r>
          </w:p>
        </w:tc>
      </w:tr>
      <w:tr w:rsidR="00170D17" w:rsidRPr="00170D17" w14:paraId="4C5ED52E" w14:textId="77777777" w:rsidTr="00170D17">
        <w:trPr>
          <w:cantSplit/>
        </w:trPr>
        <w:tc>
          <w:tcPr>
            <w:tcW w:w="0" w:type="auto"/>
            <w:tcMar>
              <w:top w:w="80" w:type="dxa"/>
              <w:left w:w="100" w:type="dxa"/>
              <w:bottom w:w="80" w:type="dxa"/>
              <w:right w:w="100" w:type="dxa"/>
            </w:tcMar>
          </w:tcPr>
          <w:p w14:paraId="13F8728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4.6–4.7</w:t>
            </w:r>
          </w:p>
        </w:tc>
        <w:tc>
          <w:tcPr>
            <w:tcW w:w="0" w:type="auto"/>
            <w:tcMar>
              <w:top w:w="80" w:type="dxa"/>
              <w:left w:w="100" w:type="dxa"/>
              <w:bottom w:w="80" w:type="dxa"/>
              <w:right w:w="100" w:type="dxa"/>
            </w:tcMar>
          </w:tcPr>
          <w:p w14:paraId="3D4EA4A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trì, dữ liệu, báo cáo</w:t>
            </w:r>
          </w:p>
        </w:tc>
        <w:tc>
          <w:tcPr>
            <w:tcW w:w="0" w:type="auto"/>
            <w:tcMar>
              <w:top w:w="80" w:type="dxa"/>
              <w:left w:w="100" w:type="dxa"/>
              <w:bottom w:w="80" w:type="dxa"/>
              <w:right w:w="100" w:type="dxa"/>
            </w:tcMar>
          </w:tcPr>
          <w:p w14:paraId="0D0F349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Pháp luật chuyên ngành</w:t>
            </w:r>
          </w:p>
        </w:tc>
        <w:tc>
          <w:tcPr>
            <w:tcW w:w="0" w:type="auto"/>
            <w:tcMar>
              <w:top w:w="80" w:type="dxa"/>
              <w:left w:w="100" w:type="dxa"/>
              <w:bottom w:w="80" w:type="dxa"/>
              <w:right w:w="100" w:type="dxa"/>
            </w:tcMar>
          </w:tcPr>
          <w:p w14:paraId="1B617F3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Tổng hợp</w:t>
            </w:r>
          </w:p>
        </w:tc>
        <w:tc>
          <w:tcPr>
            <w:tcW w:w="0" w:type="auto"/>
            <w:tcMar>
              <w:top w:w="80" w:type="dxa"/>
              <w:left w:w="100" w:type="dxa"/>
              <w:bottom w:w="80" w:type="dxa"/>
              <w:right w:w="100" w:type="dxa"/>
            </w:tcMar>
          </w:tcPr>
          <w:p w14:paraId="065A2C36"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Duy trì an toàn và truy xuất trong khai thác.</w:t>
            </w:r>
          </w:p>
        </w:tc>
      </w:tr>
      <w:tr w:rsidR="00170D17" w:rsidRPr="00170D17" w14:paraId="18D966D5" w14:textId="77777777" w:rsidTr="00170D17">
        <w:trPr>
          <w:cantSplit/>
        </w:trPr>
        <w:tc>
          <w:tcPr>
            <w:tcW w:w="0" w:type="auto"/>
            <w:tcMar>
              <w:top w:w="80" w:type="dxa"/>
              <w:left w:w="100" w:type="dxa"/>
              <w:bottom w:w="80" w:type="dxa"/>
              <w:right w:w="100" w:type="dxa"/>
            </w:tcMar>
          </w:tcPr>
          <w:p w14:paraId="6D251D1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5.1–5.7</w:t>
            </w:r>
          </w:p>
        </w:tc>
        <w:tc>
          <w:tcPr>
            <w:tcW w:w="0" w:type="auto"/>
            <w:tcMar>
              <w:top w:w="80" w:type="dxa"/>
              <w:left w:w="100" w:type="dxa"/>
              <w:bottom w:w="80" w:type="dxa"/>
              <w:right w:w="100" w:type="dxa"/>
            </w:tcMar>
          </w:tcPr>
          <w:p w14:paraId="43D95A2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Trách nhiệm các chủ thể</w:t>
            </w:r>
          </w:p>
        </w:tc>
        <w:tc>
          <w:tcPr>
            <w:tcW w:w="0" w:type="auto"/>
            <w:tcMar>
              <w:top w:w="80" w:type="dxa"/>
              <w:left w:w="100" w:type="dxa"/>
              <w:bottom w:w="80" w:type="dxa"/>
              <w:right w:w="100" w:type="dxa"/>
            </w:tcMar>
          </w:tcPr>
          <w:p w14:paraId="0464C54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Chức năng, nghĩa vụ chuyên ngành</w:t>
            </w:r>
          </w:p>
        </w:tc>
        <w:tc>
          <w:tcPr>
            <w:tcW w:w="0" w:type="auto"/>
            <w:tcMar>
              <w:top w:w="80" w:type="dxa"/>
              <w:left w:w="100" w:type="dxa"/>
              <w:bottom w:w="80" w:type="dxa"/>
              <w:right w:w="100" w:type="dxa"/>
            </w:tcMar>
          </w:tcPr>
          <w:p w14:paraId="28F08A8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2EFF728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Xác định rõ chủ thể chịu trách nhiệm.</w:t>
            </w:r>
          </w:p>
        </w:tc>
      </w:tr>
      <w:tr w:rsidR="00170D17" w:rsidRPr="00170D17" w14:paraId="7E8D1ABB" w14:textId="77777777" w:rsidTr="00170D17">
        <w:trPr>
          <w:cantSplit/>
        </w:trPr>
        <w:tc>
          <w:tcPr>
            <w:tcW w:w="0" w:type="auto"/>
            <w:tcMar>
              <w:top w:w="80" w:type="dxa"/>
              <w:left w:w="100" w:type="dxa"/>
              <w:bottom w:w="80" w:type="dxa"/>
              <w:right w:w="100" w:type="dxa"/>
            </w:tcMar>
          </w:tcPr>
          <w:p w14:paraId="674ABF49"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6.1–6.2</w:t>
            </w:r>
          </w:p>
        </w:tc>
        <w:tc>
          <w:tcPr>
            <w:tcW w:w="0" w:type="auto"/>
            <w:tcMar>
              <w:top w:w="80" w:type="dxa"/>
              <w:left w:w="100" w:type="dxa"/>
              <w:bottom w:w="80" w:type="dxa"/>
              <w:right w:w="100" w:type="dxa"/>
            </w:tcMar>
          </w:tcPr>
          <w:p w14:paraId="39993F6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Tổ chức, cập nhật văn bản</w:t>
            </w:r>
          </w:p>
        </w:tc>
        <w:tc>
          <w:tcPr>
            <w:tcW w:w="0" w:type="auto"/>
            <w:tcMar>
              <w:top w:w="80" w:type="dxa"/>
              <w:left w:w="100" w:type="dxa"/>
              <w:bottom w:w="80" w:type="dxa"/>
              <w:right w:w="100" w:type="dxa"/>
            </w:tcMar>
          </w:tcPr>
          <w:p w14:paraId="4722B4ED"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NĐ 40/2025/NĐ-CP</w:t>
            </w:r>
          </w:p>
        </w:tc>
        <w:tc>
          <w:tcPr>
            <w:tcW w:w="0" w:type="auto"/>
            <w:tcMar>
              <w:top w:w="80" w:type="dxa"/>
              <w:left w:w="100" w:type="dxa"/>
              <w:bottom w:w="80" w:type="dxa"/>
              <w:right w:w="100" w:type="dxa"/>
            </w:tcMar>
          </w:tcPr>
          <w:p w14:paraId="1983C5C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6F467F43"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Bảo đảm đầu mối hướng dẫn và phối hợp.</w:t>
            </w:r>
          </w:p>
        </w:tc>
      </w:tr>
      <w:tr w:rsidR="00170D17" w:rsidRPr="00170D17" w14:paraId="5FAC8F12" w14:textId="77777777" w:rsidTr="00170D17">
        <w:trPr>
          <w:cantSplit/>
        </w:trPr>
        <w:tc>
          <w:tcPr>
            <w:tcW w:w="0" w:type="auto"/>
            <w:tcMar>
              <w:top w:w="80" w:type="dxa"/>
              <w:left w:w="100" w:type="dxa"/>
              <w:bottom w:w="80" w:type="dxa"/>
              <w:right w:w="100" w:type="dxa"/>
            </w:tcMar>
          </w:tcPr>
          <w:p w14:paraId="06477FA2"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TT Điều 1–2</w:t>
            </w:r>
          </w:p>
        </w:tc>
        <w:tc>
          <w:tcPr>
            <w:tcW w:w="0" w:type="auto"/>
            <w:tcMar>
              <w:top w:w="80" w:type="dxa"/>
              <w:left w:w="100" w:type="dxa"/>
              <w:bottom w:w="80" w:type="dxa"/>
              <w:right w:w="100" w:type="dxa"/>
            </w:tcMar>
          </w:tcPr>
          <w:p w14:paraId="7FF81B87"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Ban hành, hiệu lực</w:t>
            </w:r>
          </w:p>
        </w:tc>
        <w:tc>
          <w:tcPr>
            <w:tcW w:w="0" w:type="auto"/>
            <w:tcMar>
              <w:top w:w="80" w:type="dxa"/>
              <w:left w:w="100" w:type="dxa"/>
              <w:bottom w:w="80" w:type="dxa"/>
              <w:right w:w="100" w:type="dxa"/>
            </w:tcMar>
          </w:tcPr>
          <w:p w14:paraId="6C44F44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Luật TC&amp;QCKT; NĐ 22/2026</w:t>
            </w:r>
          </w:p>
        </w:tc>
        <w:tc>
          <w:tcPr>
            <w:tcW w:w="0" w:type="auto"/>
            <w:tcMar>
              <w:top w:w="80" w:type="dxa"/>
              <w:left w:w="100" w:type="dxa"/>
              <w:bottom w:w="80" w:type="dxa"/>
              <w:right w:w="100" w:type="dxa"/>
            </w:tcMar>
          </w:tcPr>
          <w:p w14:paraId="2C5CAA9A"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7A09A93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Xác lập hiệu lực QCVN từ 01/7/2027.</w:t>
            </w:r>
          </w:p>
        </w:tc>
      </w:tr>
      <w:tr w:rsidR="00170D17" w:rsidRPr="00170D17" w14:paraId="27C59EA4" w14:textId="77777777" w:rsidTr="00170D17">
        <w:trPr>
          <w:cantSplit/>
        </w:trPr>
        <w:tc>
          <w:tcPr>
            <w:tcW w:w="0" w:type="auto"/>
            <w:tcMar>
              <w:top w:w="80" w:type="dxa"/>
              <w:left w:w="100" w:type="dxa"/>
              <w:bottom w:w="80" w:type="dxa"/>
              <w:right w:w="100" w:type="dxa"/>
            </w:tcMar>
          </w:tcPr>
          <w:p w14:paraId="79F99075"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TT Điều 3–4</w:t>
            </w:r>
          </w:p>
        </w:tc>
        <w:tc>
          <w:tcPr>
            <w:tcW w:w="0" w:type="auto"/>
            <w:tcMar>
              <w:top w:w="80" w:type="dxa"/>
              <w:left w:w="100" w:type="dxa"/>
              <w:bottom w:w="80" w:type="dxa"/>
              <w:right w:w="100" w:type="dxa"/>
            </w:tcMar>
          </w:tcPr>
          <w:p w14:paraId="7627E06C"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Chuyển tiếp, thi hành</w:t>
            </w:r>
          </w:p>
        </w:tc>
        <w:tc>
          <w:tcPr>
            <w:tcW w:w="0" w:type="auto"/>
            <w:tcMar>
              <w:top w:w="80" w:type="dxa"/>
              <w:left w:w="100" w:type="dxa"/>
              <w:bottom w:w="80" w:type="dxa"/>
              <w:right w:w="100" w:type="dxa"/>
            </w:tcMar>
          </w:tcPr>
          <w:p w14:paraId="72D97C41"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Thực trạng sản phẩm, trạm hiện hữu</w:t>
            </w:r>
          </w:p>
        </w:tc>
        <w:tc>
          <w:tcPr>
            <w:tcW w:w="0" w:type="auto"/>
            <w:tcMar>
              <w:top w:w="80" w:type="dxa"/>
              <w:left w:w="100" w:type="dxa"/>
              <w:bottom w:w="80" w:type="dxa"/>
              <w:right w:w="100" w:type="dxa"/>
            </w:tcMar>
          </w:tcPr>
          <w:p w14:paraId="1C80AE8B"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Tự xây dựng</w:t>
            </w:r>
          </w:p>
        </w:tc>
        <w:tc>
          <w:tcPr>
            <w:tcW w:w="0" w:type="auto"/>
            <w:tcMar>
              <w:top w:w="80" w:type="dxa"/>
              <w:left w:w="100" w:type="dxa"/>
              <w:bottom w:w="80" w:type="dxa"/>
              <w:right w:w="100" w:type="dxa"/>
            </w:tcMar>
          </w:tcPr>
          <w:p w14:paraId="0FB4D7C0" w14:textId="77777777" w:rsidR="00170D17" w:rsidRPr="00170D17" w:rsidRDefault="00170D17" w:rsidP="00170D17">
            <w:pPr>
              <w:spacing w:before="120"/>
              <w:ind w:left="113" w:right="113"/>
              <w:contextualSpacing/>
              <w:rPr>
                <w:rFonts w:cs="Times New Roman"/>
                <w:sz w:val="24"/>
                <w:szCs w:val="24"/>
                <w:lang w:val="en-US"/>
              </w:rPr>
            </w:pPr>
            <w:r w:rsidRPr="00170D17">
              <w:rPr>
                <w:rFonts w:cs="Times New Roman"/>
                <w:sz w:val="24"/>
                <w:szCs w:val="24"/>
                <w:lang w:val="en-US"/>
              </w:rPr>
              <w:t>Cân bằng yêu cầu an toàn và khả năng thích ứng.</w:t>
            </w:r>
          </w:p>
        </w:tc>
      </w:tr>
    </w:tbl>
    <w:p w14:paraId="0D1B00D5" w14:textId="1CCA0533" w:rsidR="001A0BDB" w:rsidRPr="00970827" w:rsidRDefault="009D1917" w:rsidP="00170D17">
      <w:pPr>
        <w:spacing w:before="120" w:line="240" w:lineRule="auto"/>
        <w:ind w:firstLine="720"/>
        <w:rPr>
          <w:rFonts w:cs="Times New Roman"/>
          <w:sz w:val="28"/>
          <w:szCs w:val="28"/>
        </w:rPr>
      </w:pPr>
      <w:r w:rsidRPr="00970827">
        <w:rPr>
          <w:rFonts w:cs="Times New Roman"/>
          <w:b/>
          <w:sz w:val="28"/>
          <w:szCs w:val="28"/>
        </w:rPr>
        <w:t xml:space="preserve">VI. </w:t>
      </w:r>
      <w:r w:rsidR="00170D17" w:rsidRPr="00170D17">
        <w:rPr>
          <w:rFonts w:cs="Times New Roman"/>
          <w:b/>
          <w:sz w:val="28"/>
          <w:szCs w:val="28"/>
        </w:rPr>
        <w:t>KẾT LUẬN</w:t>
      </w:r>
    </w:p>
    <w:p w14:paraId="5534D045" w14:textId="66EE2128" w:rsidR="001A0BDB" w:rsidRPr="00970827" w:rsidRDefault="00170D17" w:rsidP="00170D17">
      <w:pPr>
        <w:spacing w:before="120" w:line="240" w:lineRule="auto"/>
        <w:ind w:firstLine="720"/>
        <w:rPr>
          <w:rFonts w:cs="Times New Roman"/>
          <w:sz w:val="28"/>
          <w:szCs w:val="28"/>
        </w:rPr>
      </w:pPr>
      <w:r w:rsidRPr="00170D17">
        <w:rPr>
          <w:rFonts w:cs="Times New Roman"/>
          <w:sz w:val="28"/>
          <w:szCs w:val="28"/>
        </w:rPr>
        <w:t>Dự thảo Thông tư và QCVN XXX:2026/BCT được xây dựng trên cơ sở chủ trương chuyển đổi xanh, yêu cầu quản lý thực tiễn và hệ thống tiêu chuẩn quốc tế, quốc gia hiện hành. Nội dung dự thảo bao quát đồng bộ an toàn sản phẩm trụ sạc, thiết kế và vận hành trạm sạc, hệ thống điện, đo lường, dữ liệu và trách nhiệm của các chủ thể. Việc ban hành là cần thiết, có cơ sở khoa học, pháp lý và điều kiện triển khai, góp phần phát triển hạ tầng sạc xe điện an toàn, minh bạch, hiệu quả và bền vững.</w:t>
      </w:r>
    </w:p>
    <w:sectPr w:rsidR="001A0BDB" w:rsidRPr="00970827" w:rsidSect="00FC5E0E">
      <w:headerReference w:type="default" r:id="rId8"/>
      <w:headerReference w:type="first" r:id="rId9"/>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0A67" w14:textId="77777777" w:rsidR="00A21C92" w:rsidRDefault="00A21C92">
      <w:pPr>
        <w:spacing w:after="0" w:line="240" w:lineRule="auto"/>
      </w:pPr>
      <w:r>
        <w:separator/>
      </w:r>
    </w:p>
  </w:endnote>
  <w:endnote w:type="continuationSeparator" w:id="0">
    <w:p w14:paraId="479D0B8B" w14:textId="77777777" w:rsidR="00A21C92" w:rsidRDefault="00A21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E39B" w14:textId="77777777" w:rsidR="00A21C92" w:rsidRDefault="00A21C92">
      <w:pPr>
        <w:spacing w:after="0" w:line="240" w:lineRule="auto"/>
      </w:pPr>
      <w:r>
        <w:separator/>
      </w:r>
    </w:p>
  </w:footnote>
  <w:footnote w:type="continuationSeparator" w:id="0">
    <w:p w14:paraId="7777D3DC" w14:textId="77777777" w:rsidR="00A21C92" w:rsidRDefault="00A21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0400268"/>
      <w:docPartObj>
        <w:docPartGallery w:val="Page Numbers (Top of Page)"/>
        <w:docPartUnique/>
      </w:docPartObj>
    </w:sdtPr>
    <w:sdtContent>
      <w:p w14:paraId="63E1A747" w14:textId="0EC0A8DC" w:rsidR="00170D17" w:rsidRDefault="00170D17" w:rsidP="00FC5E0E">
        <w:pPr>
          <w:pStyle w:val="Header"/>
          <w:tabs>
            <w:tab w:val="clear" w:pos="4680"/>
            <w:tab w:val="clear" w:pos="9360"/>
          </w:tabs>
          <w:jc w:val="center"/>
        </w:pPr>
        <w:r>
          <w:fldChar w:fldCharType="begin"/>
        </w:r>
        <w:r>
          <w:instrText>PAGE   \* MERGEFORMAT</w:instrText>
        </w:r>
        <w:r>
          <w:fldChar w:fldCharType="separate"/>
        </w:r>
        <w:r>
          <w:t>2</w:t>
        </w:r>
        <w:r>
          <w:fldChar w:fldCharType="end"/>
        </w:r>
      </w:p>
    </w:sdtContent>
  </w:sdt>
  <w:p w14:paraId="664410BB" w14:textId="77777777" w:rsidR="00170D17" w:rsidRDefault="00170D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719093"/>
      <w:docPartObj>
        <w:docPartGallery w:val="Page Numbers (Top of Page)"/>
        <w:docPartUnique/>
      </w:docPartObj>
    </w:sdtPr>
    <w:sdtContent>
      <w:p w14:paraId="004181D4" w14:textId="5FC5F6D9" w:rsidR="00170D17" w:rsidRDefault="00170D17">
        <w:pPr>
          <w:pStyle w:val="Header"/>
          <w:jc w:val="center"/>
        </w:pPr>
        <w:r>
          <w:fldChar w:fldCharType="begin"/>
        </w:r>
        <w:r>
          <w:instrText>PAGE   \* MERGEFORMAT</w:instrText>
        </w:r>
        <w:r>
          <w:fldChar w:fldCharType="separate"/>
        </w:r>
        <w:r>
          <w:t>2</w:t>
        </w:r>
        <w:r>
          <w:fldChar w:fldCharType="end"/>
        </w:r>
      </w:p>
    </w:sdtContent>
  </w:sdt>
  <w:p w14:paraId="13992C52" w14:textId="77777777" w:rsidR="00170D17" w:rsidRDefault="00170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7314538"/>
    <w:multiLevelType w:val="singleLevel"/>
    <w:tmpl w:val="91223090"/>
    <w:lvl w:ilvl="0">
      <w:start w:val="1"/>
      <w:numFmt w:val="bullet"/>
      <w:pStyle w:val="ListBullet"/>
      <w:lvlText w:val="•"/>
      <w:lvlJc w:val="left"/>
      <w:pPr>
        <w:tabs>
          <w:tab w:val="num" w:pos="540"/>
        </w:tabs>
        <w:spacing w:after="60" w:line="300" w:lineRule="auto"/>
        <w:ind w:left="540" w:hanging="280"/>
      </w:pPr>
      <w:rPr>
        <w:rFonts w:ascii="Times New Roman" w:hAnsi="Times New Roman"/>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70D17"/>
    <w:rsid w:val="001A0BDB"/>
    <w:rsid w:val="0029639D"/>
    <w:rsid w:val="00326F90"/>
    <w:rsid w:val="00565652"/>
    <w:rsid w:val="007B3606"/>
    <w:rsid w:val="00970827"/>
    <w:rsid w:val="009D1917"/>
    <w:rsid w:val="00A21C92"/>
    <w:rsid w:val="00AA1D8D"/>
    <w:rsid w:val="00B47730"/>
    <w:rsid w:val="00BA47C6"/>
    <w:rsid w:val="00CB0664"/>
    <w:rsid w:val="00D338DC"/>
    <w:rsid w:val="00D711FD"/>
    <w:rsid w:val="00FC5E0E"/>
    <w:rsid w:val="00FC693F"/>
    <w:rsid w:val="00FF25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9EB349"/>
  <w14:defaultImageDpi w14:val="300"/>
  <w15:docId w15:val="{994CED02-A2E9-4349-BE9D-D5152F6F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jc w:val="both"/>
    </w:pPr>
    <w:rPr>
      <w:rFonts w:ascii="Times New Roman" w:eastAsia="Times New Roman" w:hAnsi="Times New Roman"/>
      <w:noProof/>
      <w:sz w:val="26"/>
      <w:lang w:val="vi-VN"/>
    </w:rPr>
  </w:style>
  <w:style w:type="paragraph" w:styleId="Heading1">
    <w:name w:val="heading 1"/>
    <w:basedOn w:val="Normal"/>
    <w:next w:val="Normal"/>
    <w:link w:val="Heading1Char"/>
    <w:uiPriority w:val="9"/>
    <w:qFormat/>
    <w:rsid w:val="00FC693F"/>
    <w:pPr>
      <w:keepNext/>
      <w:keepLines/>
      <w:spacing w:before="160"/>
      <w:outlineLvl w:val="0"/>
    </w:pPr>
    <w:rPr>
      <w:rFonts w:asciiTheme="majorHAnsi" w:eastAsiaTheme="majorEastAsia" w:hAnsiTheme="majorHAnsi" w:cstheme="majorBidi"/>
      <w:b/>
      <w:bCs/>
      <w:color w:val="000000"/>
      <w:szCs w:val="28"/>
    </w:rPr>
  </w:style>
  <w:style w:type="paragraph" w:styleId="Heading2">
    <w:name w:val="heading 2"/>
    <w:basedOn w:val="Normal"/>
    <w:next w:val="Normal"/>
    <w:link w:val="Heading2Char"/>
    <w:uiPriority w:val="9"/>
    <w:unhideWhenUsed/>
    <w:qFormat/>
    <w:rsid w:val="00FC693F"/>
    <w:pPr>
      <w:keepNext/>
      <w:keepLines/>
      <w:spacing w:before="160"/>
      <w:outlineLvl w:val="1"/>
    </w:pPr>
    <w:rPr>
      <w:rFonts w:asciiTheme="majorHAnsi" w:eastAsiaTheme="majorEastAsia" w:hAnsiTheme="majorHAnsi" w:cstheme="majorBidi"/>
      <w:b/>
      <w:bCs/>
      <w:color w:val="000000"/>
      <w:szCs w:val="26"/>
    </w:rPr>
  </w:style>
  <w:style w:type="paragraph" w:styleId="Heading3">
    <w:name w:val="heading 3"/>
    <w:basedOn w:val="Normal"/>
    <w:next w:val="Normal"/>
    <w:link w:val="Heading3Char"/>
    <w:uiPriority w:val="9"/>
    <w:unhideWhenUsed/>
    <w:qFormat/>
    <w:rsid w:val="00FC693F"/>
    <w:pPr>
      <w:keepNext/>
      <w:keepLines/>
      <w:spacing w:before="160"/>
      <w:outlineLvl w:val="2"/>
    </w:pPr>
    <w:rPr>
      <w:rFonts w:asciiTheme="majorHAnsi" w:eastAsiaTheme="majorEastAsia" w:hAnsiTheme="majorHAnsi" w:cstheme="majorBidi"/>
      <w:b/>
      <w:bCs/>
      <w:color w:val="00000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7761</Words>
  <Characters>44238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Thuyết minh dự thảo QCVN về trụ sạc và trạm sạc xe điện</vt:lpstr>
    </vt:vector>
  </TitlesOfParts>
  <Manager/>
  <Company/>
  <LinksUpToDate>false</LinksUpToDate>
  <CharactersWithSpaces>51896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Thuyết minh dự thảo QCVN về trụ sạc và trạm sạc xe điện</dc:title>
  <dc:subject>Bản hoàn thiện, trau chuốt và bổ sung nội dung</dc:subject>
  <dc:creator>Tran HP</dc:creator>
  <cp:keywords/>
  <dc:description/>
  <cp:lastModifiedBy>Tran HP</cp:lastModifiedBy>
  <cp:revision>4</cp:revision>
  <dcterms:created xsi:type="dcterms:W3CDTF">2026-08-05T01:54:00Z</dcterms:created>
  <dcterms:modified xsi:type="dcterms:W3CDTF">2026-08-05T02:35:00Z</dcterms:modified>
  <cp:category/>
</cp:coreProperties>
</file>